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3F00E" w14:textId="77777777" w:rsidR="00CE32B4" w:rsidRDefault="00000000">
      <w:pPr>
        <w:pStyle w:val="Title"/>
      </w:pPr>
      <w:r>
        <w:t>Moving Part Accessibility and Pinch Point Test</w:t>
      </w:r>
    </w:p>
    <w:p w14:paraId="4C7CF8BD" w14:textId="77777777" w:rsidR="00CE32B4" w:rsidRDefault="00000000">
      <w:pPr>
        <w:pStyle w:val="Subtitle"/>
      </w:pPr>
      <w:r>
        <w:t>Test procedure based on EN 62368-1:2014 Clause 8.5 and Annex V</w:t>
      </w:r>
    </w:p>
    <w:p w14:paraId="715F5894" w14:textId="77777777" w:rsidR="00CE32B4" w:rsidRDefault="00000000">
      <w:pPr>
        <w:pStyle w:val="Heading1"/>
      </w:pPr>
      <w:r>
        <w:t>Purpose</w:t>
      </w:r>
    </w:p>
    <w:p w14:paraId="71D61183" w14:textId="77777777" w:rsidR="00CE32B4" w:rsidRDefault="00000000">
      <w:r>
        <w:t xml:space="preserve">This procedure explains how to determine whether a finger can reach a moving pinch point through an enclosure hole and how to record a pass or fail result. </w:t>
      </w:r>
      <w:r>
        <w:rPr>
          <w:b/>
        </w:rPr>
        <w:t>The applicable standardized test probe must be used; a person must never place a real finger into the opening during the assessment.</w:t>
      </w:r>
    </w:p>
    <w:p w14:paraId="3C6AB039" w14:textId="77777777" w:rsidR="00CE32B4" w:rsidRDefault="00000000">
      <w:r>
        <w:rPr>
          <w:b/>
        </w:rPr>
        <w:t xml:space="preserve">Main conclusion  </w:t>
      </w:r>
      <w:r>
        <w:t>If the applicable Annex V probe can contact a moving part classified as MS2 or MS3, the construction normally fails Clause 8.5. An equipment safeguard must prevent access, or a compliant interlock must reduce the movement to MS1 before access becomes possible.</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381"/>
        <w:gridCol w:w="7087"/>
      </w:tblGrid>
      <w:tr w:rsidR="00CE32B4" w14:paraId="17C974BB" w14:textId="77777777">
        <w:trPr>
          <w:jc w:val="center"/>
        </w:trPr>
        <w:tc>
          <w:tcPr>
            <w:tcW w:w="2381" w:type="dxa"/>
            <w:shd w:val="clear" w:color="auto" w:fill="F3F6F9"/>
            <w:tcMar>
              <w:top w:w="110" w:type="dxa"/>
              <w:left w:w="120" w:type="dxa"/>
              <w:bottom w:w="110" w:type="dxa"/>
              <w:right w:w="120" w:type="dxa"/>
            </w:tcMar>
            <w:vAlign w:val="center"/>
          </w:tcPr>
          <w:p w14:paraId="63F74842" w14:textId="77777777" w:rsidR="00CE32B4" w:rsidRDefault="00000000">
            <w:pPr>
              <w:spacing w:after="0" w:line="252" w:lineRule="auto"/>
            </w:pPr>
            <w:r>
              <w:rPr>
                <w:sz w:val="18"/>
              </w:rPr>
              <w:t>Document type</w:t>
            </w:r>
          </w:p>
        </w:tc>
        <w:tc>
          <w:tcPr>
            <w:tcW w:w="7087" w:type="dxa"/>
            <w:shd w:val="clear" w:color="auto" w:fill="F3F6F9"/>
            <w:tcMar>
              <w:top w:w="110" w:type="dxa"/>
              <w:left w:w="120" w:type="dxa"/>
              <w:bottom w:w="110" w:type="dxa"/>
              <w:right w:w="120" w:type="dxa"/>
            </w:tcMar>
            <w:vAlign w:val="center"/>
          </w:tcPr>
          <w:p w14:paraId="209BE5BE" w14:textId="77777777" w:rsidR="00CE32B4" w:rsidRDefault="00000000">
            <w:pPr>
              <w:spacing w:after="0" w:line="252" w:lineRule="auto"/>
            </w:pPr>
            <w:r>
              <w:rPr>
                <w:sz w:val="18"/>
              </w:rPr>
              <w:t>Laboratory test procedure and record</w:t>
            </w:r>
          </w:p>
        </w:tc>
      </w:tr>
      <w:tr w:rsidR="00CE32B4" w14:paraId="2D112DF6" w14:textId="77777777">
        <w:trPr>
          <w:jc w:val="center"/>
        </w:trPr>
        <w:tc>
          <w:tcPr>
            <w:tcW w:w="2381" w:type="dxa"/>
            <w:tcMar>
              <w:top w:w="110" w:type="dxa"/>
              <w:left w:w="120" w:type="dxa"/>
              <w:bottom w:w="110" w:type="dxa"/>
              <w:right w:w="120" w:type="dxa"/>
            </w:tcMar>
            <w:vAlign w:val="center"/>
          </w:tcPr>
          <w:p w14:paraId="268FE115" w14:textId="77777777" w:rsidR="00CE32B4" w:rsidRDefault="00000000">
            <w:pPr>
              <w:spacing w:after="0" w:line="252" w:lineRule="auto"/>
            </w:pPr>
            <w:r>
              <w:rPr>
                <w:sz w:val="18"/>
              </w:rPr>
              <w:t>Product</w:t>
            </w:r>
          </w:p>
        </w:tc>
        <w:tc>
          <w:tcPr>
            <w:tcW w:w="7087" w:type="dxa"/>
            <w:tcMar>
              <w:top w:w="110" w:type="dxa"/>
              <w:left w:w="120" w:type="dxa"/>
              <w:bottom w:w="110" w:type="dxa"/>
              <w:right w:w="120" w:type="dxa"/>
            </w:tcMar>
            <w:vAlign w:val="center"/>
          </w:tcPr>
          <w:p w14:paraId="78BAB07A" w14:textId="77777777" w:rsidR="00CE32B4" w:rsidRDefault="00000000">
            <w:pPr>
              <w:spacing w:after="0" w:line="252" w:lineRule="auto"/>
            </w:pPr>
            <w:r>
              <w:rPr>
                <w:sz w:val="18"/>
              </w:rPr>
              <w:t>[Enter product and model]</w:t>
            </w:r>
          </w:p>
        </w:tc>
      </w:tr>
      <w:tr w:rsidR="00CE32B4" w14:paraId="15A2AD69" w14:textId="77777777">
        <w:trPr>
          <w:jc w:val="center"/>
        </w:trPr>
        <w:tc>
          <w:tcPr>
            <w:tcW w:w="2381" w:type="dxa"/>
            <w:shd w:val="clear" w:color="auto" w:fill="F3F6F9"/>
            <w:tcMar>
              <w:top w:w="110" w:type="dxa"/>
              <w:left w:w="120" w:type="dxa"/>
              <w:bottom w:w="110" w:type="dxa"/>
              <w:right w:w="120" w:type="dxa"/>
            </w:tcMar>
            <w:vAlign w:val="center"/>
          </w:tcPr>
          <w:p w14:paraId="071CF0BD" w14:textId="77777777" w:rsidR="00CE32B4" w:rsidRDefault="00000000">
            <w:pPr>
              <w:spacing w:after="0" w:line="252" w:lineRule="auto"/>
            </w:pPr>
            <w:r>
              <w:rPr>
                <w:sz w:val="18"/>
              </w:rPr>
              <w:t>Opening reference</w:t>
            </w:r>
          </w:p>
        </w:tc>
        <w:tc>
          <w:tcPr>
            <w:tcW w:w="7087" w:type="dxa"/>
            <w:shd w:val="clear" w:color="auto" w:fill="F3F6F9"/>
            <w:tcMar>
              <w:top w:w="110" w:type="dxa"/>
              <w:left w:w="120" w:type="dxa"/>
              <w:bottom w:w="110" w:type="dxa"/>
              <w:right w:w="120" w:type="dxa"/>
            </w:tcMar>
            <w:vAlign w:val="center"/>
          </w:tcPr>
          <w:p w14:paraId="7C4C493D" w14:textId="77777777" w:rsidR="00CE32B4" w:rsidRDefault="00000000">
            <w:pPr>
              <w:spacing w:after="0" w:line="252" w:lineRule="auto"/>
            </w:pPr>
            <w:r>
              <w:rPr>
                <w:sz w:val="18"/>
              </w:rPr>
              <w:t>[Enter drawing or photograph reference]</w:t>
            </w:r>
          </w:p>
        </w:tc>
      </w:tr>
      <w:tr w:rsidR="00CE32B4" w14:paraId="6AB18741" w14:textId="77777777">
        <w:trPr>
          <w:jc w:val="center"/>
        </w:trPr>
        <w:tc>
          <w:tcPr>
            <w:tcW w:w="2381" w:type="dxa"/>
            <w:tcMar>
              <w:top w:w="110" w:type="dxa"/>
              <w:left w:w="120" w:type="dxa"/>
              <w:bottom w:w="110" w:type="dxa"/>
              <w:right w:w="120" w:type="dxa"/>
            </w:tcMar>
            <w:vAlign w:val="center"/>
          </w:tcPr>
          <w:p w14:paraId="1CE35F8D" w14:textId="77777777" w:rsidR="00CE32B4" w:rsidRDefault="00000000">
            <w:pPr>
              <w:spacing w:after="0" w:line="252" w:lineRule="auto"/>
            </w:pPr>
            <w:r>
              <w:rPr>
                <w:sz w:val="18"/>
              </w:rPr>
              <w:t>Applicable person</w:t>
            </w:r>
          </w:p>
        </w:tc>
        <w:tc>
          <w:tcPr>
            <w:tcW w:w="7087" w:type="dxa"/>
            <w:tcMar>
              <w:top w:w="110" w:type="dxa"/>
              <w:left w:w="120" w:type="dxa"/>
              <w:bottom w:w="110" w:type="dxa"/>
              <w:right w:w="120" w:type="dxa"/>
            </w:tcMar>
            <w:vAlign w:val="center"/>
          </w:tcPr>
          <w:p w14:paraId="59D565DC" w14:textId="77777777" w:rsidR="00CE32B4" w:rsidRDefault="00000000">
            <w:pPr>
              <w:spacing w:after="0" w:line="252" w:lineRule="auto"/>
            </w:pPr>
            <w:r>
              <w:rPr>
                <w:sz w:val="18"/>
              </w:rPr>
              <w:t>Ordinary person unless justified otherwise</w:t>
            </w:r>
          </w:p>
        </w:tc>
      </w:tr>
      <w:tr w:rsidR="00CE32B4" w14:paraId="4A68ED93" w14:textId="77777777">
        <w:trPr>
          <w:jc w:val="center"/>
        </w:trPr>
        <w:tc>
          <w:tcPr>
            <w:tcW w:w="2381" w:type="dxa"/>
            <w:shd w:val="clear" w:color="auto" w:fill="F3F6F9"/>
            <w:tcMar>
              <w:top w:w="110" w:type="dxa"/>
              <w:left w:w="120" w:type="dxa"/>
              <w:bottom w:w="110" w:type="dxa"/>
              <w:right w:w="120" w:type="dxa"/>
            </w:tcMar>
            <w:vAlign w:val="center"/>
          </w:tcPr>
          <w:p w14:paraId="379EBCC1" w14:textId="77777777" w:rsidR="00CE32B4" w:rsidRDefault="00000000">
            <w:pPr>
              <w:spacing w:after="0" w:line="252" w:lineRule="auto"/>
            </w:pPr>
            <w:r>
              <w:rPr>
                <w:sz w:val="18"/>
              </w:rPr>
              <w:t>Standard basis</w:t>
            </w:r>
          </w:p>
        </w:tc>
        <w:tc>
          <w:tcPr>
            <w:tcW w:w="7087" w:type="dxa"/>
            <w:shd w:val="clear" w:color="auto" w:fill="F3F6F9"/>
            <w:tcMar>
              <w:top w:w="110" w:type="dxa"/>
              <w:left w:w="120" w:type="dxa"/>
              <w:bottom w:w="110" w:type="dxa"/>
              <w:right w:w="120" w:type="dxa"/>
            </w:tcMar>
            <w:vAlign w:val="center"/>
          </w:tcPr>
          <w:p w14:paraId="5FBC006B" w14:textId="77777777" w:rsidR="00CE32B4" w:rsidRDefault="00000000">
            <w:pPr>
              <w:spacing w:after="0" w:line="252" w:lineRule="auto"/>
            </w:pPr>
            <w:r>
              <w:rPr>
                <w:sz w:val="18"/>
              </w:rPr>
              <w:t>EN 62368-1:2014, particularly 8.2, 8.3, 8.5 and Annex V</w:t>
            </w:r>
          </w:p>
        </w:tc>
      </w:tr>
    </w:tbl>
    <w:p w14:paraId="366EFF0A" w14:textId="77777777" w:rsidR="00CE32B4" w:rsidRDefault="00CE32B4"/>
    <w:p w14:paraId="5B3AE5EB" w14:textId="77777777" w:rsidR="00CE32B4" w:rsidRDefault="00000000">
      <w:pPr>
        <w:keepNext/>
        <w:jc w:val="center"/>
      </w:pPr>
      <w:r>
        <w:rPr>
          <w:noProof/>
        </w:rPr>
        <w:drawing>
          <wp:inline distT="0" distB="0" distL="0" distR="0" wp14:anchorId="5578706C" wp14:editId="087DC42B">
            <wp:extent cx="6048000" cy="3024000"/>
            <wp:effectExtent l="0" t="0" r="0" b="0"/>
            <wp:docPr id="1" name="Picture 1" descr="Cross-section showing a jointed test probe entering an enclosure opening toward a moving pinch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_cross_section.png"/>
                    <pic:cNvPicPr/>
                  </pic:nvPicPr>
                  <pic:blipFill>
                    <a:blip r:embed="rId8"/>
                    <a:stretch>
                      <a:fillRect/>
                    </a:stretch>
                  </pic:blipFill>
                  <pic:spPr>
                    <a:xfrm>
                      <a:off x="0" y="0"/>
                      <a:ext cx="6048000" cy="3024000"/>
                    </a:xfrm>
                    <a:prstGeom prst="rect">
                      <a:avLst/>
                    </a:prstGeom>
                  </pic:spPr>
                </pic:pic>
              </a:graphicData>
            </a:graphic>
          </wp:inline>
        </w:drawing>
      </w:r>
    </w:p>
    <w:p w14:paraId="7D93468D" w14:textId="77777777" w:rsidR="00CE32B4" w:rsidRDefault="00000000">
      <w:pPr>
        <w:spacing w:before="40" w:after="160"/>
        <w:jc w:val="center"/>
      </w:pPr>
      <w:r>
        <w:rPr>
          <w:i/>
          <w:color w:val="595959"/>
          <w:sz w:val="18"/>
        </w:rPr>
        <w:t>Figure 1  Concept of accessibility through a hole to a pinch point</w:t>
      </w:r>
    </w:p>
    <w:p w14:paraId="16069BCA" w14:textId="77777777" w:rsidR="00CE32B4" w:rsidRDefault="00000000">
      <w:r>
        <w:br w:type="page"/>
      </w:r>
    </w:p>
    <w:p w14:paraId="169364EF" w14:textId="77777777" w:rsidR="00CE32B4" w:rsidRDefault="00000000">
      <w:pPr>
        <w:pStyle w:val="Heading1"/>
      </w:pPr>
      <w:r>
        <w:lastRenderedPageBreak/>
        <w:t>Scope and decision rule</w:t>
      </w:r>
    </w:p>
    <w:p w14:paraId="2F93E26B" w14:textId="77777777" w:rsidR="00CE32B4" w:rsidRDefault="00000000">
      <w:r>
        <w:t>The procedure applies to a hole, slot or similar opening through which a person could reach a moving mechanism. Examples include gears, rollers, linkages, belts, cams and sliding components that can trap or pinch a finger.</w:t>
      </w:r>
    </w:p>
    <w:p w14:paraId="5761E22F" w14:textId="77777777" w:rsidR="00CE32B4" w:rsidRDefault="00000000">
      <w:r>
        <w:t>Two questions must be answered separately:</w:t>
      </w:r>
    </w:p>
    <w:p w14:paraId="612F1192" w14:textId="77777777" w:rsidR="00CE32B4" w:rsidRDefault="00000000">
      <w:pPr>
        <w:ind w:left="369" w:hanging="312"/>
      </w:pPr>
      <w:r>
        <w:rPr>
          <w:b/>
        </w:rPr>
        <w:t xml:space="preserve">1.  </w:t>
      </w:r>
      <w:r>
        <w:t>Can the applicable test probe contact the moving part or enter its motion or pinch zone?</w:t>
      </w:r>
    </w:p>
    <w:p w14:paraId="65C1E87A" w14:textId="77777777" w:rsidR="00CE32B4" w:rsidRDefault="00000000">
      <w:pPr>
        <w:ind w:left="369" w:hanging="312"/>
      </w:pPr>
      <w:r>
        <w:rPr>
          <w:b/>
        </w:rPr>
        <w:t xml:space="preserve">2.  </w:t>
      </w:r>
      <w:r>
        <w:t>Is the moving part MS1, MS2 or MS3 under normal operation, abnormal operation and relevant single fault conditions?</w:t>
      </w:r>
    </w:p>
    <w:p w14:paraId="5B007360" w14:textId="77777777" w:rsidR="00CE32B4" w:rsidRDefault="00000000">
      <w:r>
        <w:t>A hole that accepts a real finger is a strong indication that formal testing is required, but the result must be based on the standardized probe. Accessibility does not by itself establish failure if the contacted moving part is demonstrated to remain MS1.</w:t>
      </w:r>
    </w:p>
    <w:p w14:paraId="3B5708A9" w14:textId="77777777" w:rsidR="00CE32B4" w:rsidRDefault="00000000">
      <w:pPr>
        <w:pStyle w:val="Heading2"/>
      </w:pPr>
      <w:r>
        <w:t>Relevant requirements</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814"/>
        <w:gridCol w:w="2324"/>
        <w:gridCol w:w="5329"/>
      </w:tblGrid>
      <w:tr w:rsidR="00CE32B4" w14:paraId="44B47E9B" w14:textId="77777777">
        <w:trPr>
          <w:tblHeader/>
          <w:jc w:val="center"/>
        </w:trPr>
        <w:tc>
          <w:tcPr>
            <w:tcW w:w="1814" w:type="dxa"/>
            <w:shd w:val="clear" w:color="auto" w:fill="17365D"/>
            <w:tcMar>
              <w:top w:w="110" w:type="dxa"/>
              <w:left w:w="120" w:type="dxa"/>
              <w:bottom w:w="110" w:type="dxa"/>
              <w:right w:w="120" w:type="dxa"/>
            </w:tcMar>
            <w:vAlign w:val="center"/>
          </w:tcPr>
          <w:p w14:paraId="14F40C9F" w14:textId="77777777" w:rsidR="00CE32B4" w:rsidRDefault="00000000">
            <w:pPr>
              <w:jc w:val="center"/>
            </w:pPr>
            <w:r>
              <w:rPr>
                <w:b/>
                <w:color w:val="FFFFFF"/>
                <w:sz w:val="18"/>
              </w:rPr>
              <w:t>Reference</w:t>
            </w:r>
          </w:p>
        </w:tc>
        <w:tc>
          <w:tcPr>
            <w:tcW w:w="2324" w:type="dxa"/>
            <w:shd w:val="clear" w:color="auto" w:fill="17365D"/>
            <w:tcMar>
              <w:top w:w="110" w:type="dxa"/>
              <w:left w:w="120" w:type="dxa"/>
              <w:bottom w:w="110" w:type="dxa"/>
              <w:right w:w="120" w:type="dxa"/>
            </w:tcMar>
            <w:vAlign w:val="center"/>
          </w:tcPr>
          <w:p w14:paraId="7194DF57" w14:textId="77777777" w:rsidR="00CE32B4" w:rsidRDefault="00000000">
            <w:pPr>
              <w:jc w:val="center"/>
            </w:pPr>
            <w:r>
              <w:rPr>
                <w:b/>
                <w:color w:val="FFFFFF"/>
                <w:sz w:val="18"/>
              </w:rPr>
              <w:t>Subject</w:t>
            </w:r>
          </w:p>
        </w:tc>
        <w:tc>
          <w:tcPr>
            <w:tcW w:w="5329" w:type="dxa"/>
            <w:shd w:val="clear" w:color="auto" w:fill="17365D"/>
            <w:tcMar>
              <w:top w:w="110" w:type="dxa"/>
              <w:left w:w="120" w:type="dxa"/>
              <w:bottom w:w="110" w:type="dxa"/>
              <w:right w:w="120" w:type="dxa"/>
            </w:tcMar>
            <w:vAlign w:val="center"/>
          </w:tcPr>
          <w:p w14:paraId="7748F38E" w14:textId="77777777" w:rsidR="00CE32B4" w:rsidRDefault="00000000">
            <w:pPr>
              <w:jc w:val="center"/>
            </w:pPr>
            <w:r>
              <w:rPr>
                <w:b/>
                <w:color w:val="FFFFFF"/>
                <w:sz w:val="18"/>
              </w:rPr>
              <w:t>Use in this assessment</w:t>
            </w:r>
          </w:p>
        </w:tc>
      </w:tr>
      <w:tr w:rsidR="00CE32B4" w14:paraId="7706C01C" w14:textId="77777777">
        <w:trPr>
          <w:jc w:val="center"/>
        </w:trPr>
        <w:tc>
          <w:tcPr>
            <w:tcW w:w="1814" w:type="dxa"/>
            <w:tcMar>
              <w:top w:w="110" w:type="dxa"/>
              <w:left w:w="120" w:type="dxa"/>
              <w:bottom w:w="110" w:type="dxa"/>
              <w:right w:w="120" w:type="dxa"/>
            </w:tcMar>
            <w:vAlign w:val="center"/>
          </w:tcPr>
          <w:p w14:paraId="5B69C910" w14:textId="77777777" w:rsidR="00CE32B4" w:rsidRDefault="00000000">
            <w:pPr>
              <w:spacing w:after="0" w:line="252" w:lineRule="auto"/>
            </w:pPr>
            <w:r>
              <w:rPr>
                <w:sz w:val="18"/>
              </w:rPr>
              <w:t>8.2 and Table 35</w:t>
            </w:r>
          </w:p>
        </w:tc>
        <w:tc>
          <w:tcPr>
            <w:tcW w:w="2324" w:type="dxa"/>
            <w:tcMar>
              <w:top w:w="110" w:type="dxa"/>
              <w:left w:w="120" w:type="dxa"/>
              <w:bottom w:w="110" w:type="dxa"/>
              <w:right w:w="120" w:type="dxa"/>
            </w:tcMar>
            <w:vAlign w:val="center"/>
          </w:tcPr>
          <w:p w14:paraId="045352F7" w14:textId="77777777" w:rsidR="00CE32B4" w:rsidRDefault="00000000">
            <w:pPr>
              <w:spacing w:after="0" w:line="252" w:lineRule="auto"/>
            </w:pPr>
            <w:r>
              <w:rPr>
                <w:sz w:val="18"/>
              </w:rPr>
              <w:t>Mechanical source classification</w:t>
            </w:r>
          </w:p>
        </w:tc>
        <w:tc>
          <w:tcPr>
            <w:tcW w:w="5329" w:type="dxa"/>
            <w:tcMar>
              <w:top w:w="110" w:type="dxa"/>
              <w:left w:w="120" w:type="dxa"/>
              <w:bottom w:w="110" w:type="dxa"/>
              <w:right w:w="120" w:type="dxa"/>
            </w:tcMar>
            <w:vAlign w:val="center"/>
          </w:tcPr>
          <w:p w14:paraId="0BA293A4" w14:textId="77777777" w:rsidR="00CE32B4" w:rsidRDefault="00000000">
            <w:pPr>
              <w:spacing w:after="0" w:line="252" w:lineRule="auto"/>
            </w:pPr>
            <w:r>
              <w:rPr>
                <w:sz w:val="18"/>
              </w:rPr>
              <w:t>Classify a general moving part using Table 35 line 2.</w:t>
            </w:r>
          </w:p>
        </w:tc>
      </w:tr>
      <w:tr w:rsidR="00CE32B4" w14:paraId="414133F2" w14:textId="77777777">
        <w:trPr>
          <w:jc w:val="center"/>
        </w:trPr>
        <w:tc>
          <w:tcPr>
            <w:tcW w:w="1814" w:type="dxa"/>
            <w:shd w:val="clear" w:color="auto" w:fill="F3F6F9"/>
            <w:tcMar>
              <w:top w:w="110" w:type="dxa"/>
              <w:left w:w="120" w:type="dxa"/>
              <w:bottom w:w="110" w:type="dxa"/>
              <w:right w:w="120" w:type="dxa"/>
            </w:tcMar>
            <w:vAlign w:val="center"/>
          </w:tcPr>
          <w:p w14:paraId="5904E197" w14:textId="77777777" w:rsidR="00CE32B4" w:rsidRDefault="00000000">
            <w:pPr>
              <w:spacing w:after="0" w:line="252" w:lineRule="auto"/>
            </w:pPr>
            <w:r>
              <w:rPr>
                <w:sz w:val="18"/>
              </w:rPr>
              <w:t>8.3</w:t>
            </w:r>
          </w:p>
        </w:tc>
        <w:tc>
          <w:tcPr>
            <w:tcW w:w="2324" w:type="dxa"/>
            <w:shd w:val="clear" w:color="auto" w:fill="F3F6F9"/>
            <w:tcMar>
              <w:top w:w="110" w:type="dxa"/>
              <w:left w:w="120" w:type="dxa"/>
              <w:bottom w:w="110" w:type="dxa"/>
              <w:right w:w="120" w:type="dxa"/>
            </w:tcMar>
            <w:vAlign w:val="center"/>
          </w:tcPr>
          <w:p w14:paraId="2B4F3B98" w14:textId="77777777" w:rsidR="00CE32B4" w:rsidRDefault="00000000">
            <w:pPr>
              <w:spacing w:after="0" w:line="252" w:lineRule="auto"/>
            </w:pPr>
            <w:r>
              <w:rPr>
                <w:sz w:val="18"/>
              </w:rPr>
              <w:t>Mechanical safeguards</w:t>
            </w:r>
          </w:p>
        </w:tc>
        <w:tc>
          <w:tcPr>
            <w:tcW w:w="5329" w:type="dxa"/>
            <w:shd w:val="clear" w:color="auto" w:fill="F3F6F9"/>
            <w:tcMar>
              <w:top w:w="110" w:type="dxa"/>
              <w:left w:w="120" w:type="dxa"/>
              <w:bottom w:w="110" w:type="dxa"/>
              <w:right w:w="120" w:type="dxa"/>
            </w:tcMar>
            <w:vAlign w:val="center"/>
          </w:tcPr>
          <w:p w14:paraId="19ADF29D" w14:textId="77777777" w:rsidR="00CE32B4" w:rsidRDefault="00000000">
            <w:pPr>
              <w:spacing w:after="0" w:line="252" w:lineRule="auto"/>
            </w:pPr>
            <w:r>
              <w:rPr>
                <w:sz w:val="18"/>
              </w:rPr>
              <w:t>Apply the general protection requirements for ordinary, instructed and skilled persons.</w:t>
            </w:r>
          </w:p>
        </w:tc>
      </w:tr>
      <w:tr w:rsidR="00CE32B4" w14:paraId="0B840089" w14:textId="77777777">
        <w:trPr>
          <w:jc w:val="center"/>
        </w:trPr>
        <w:tc>
          <w:tcPr>
            <w:tcW w:w="1814" w:type="dxa"/>
            <w:tcMar>
              <w:top w:w="110" w:type="dxa"/>
              <w:left w:w="120" w:type="dxa"/>
              <w:bottom w:w="110" w:type="dxa"/>
              <w:right w:w="120" w:type="dxa"/>
            </w:tcMar>
            <w:vAlign w:val="center"/>
          </w:tcPr>
          <w:p w14:paraId="7D72AC9E" w14:textId="77777777" w:rsidR="00CE32B4" w:rsidRDefault="00000000">
            <w:pPr>
              <w:spacing w:after="0" w:line="252" w:lineRule="auto"/>
            </w:pPr>
            <w:r>
              <w:rPr>
                <w:sz w:val="18"/>
              </w:rPr>
              <w:t>8.5.1</w:t>
            </w:r>
          </w:p>
        </w:tc>
        <w:tc>
          <w:tcPr>
            <w:tcW w:w="2324" w:type="dxa"/>
            <w:tcMar>
              <w:top w:w="110" w:type="dxa"/>
              <w:left w:w="120" w:type="dxa"/>
              <w:bottom w:w="110" w:type="dxa"/>
              <w:right w:w="120" w:type="dxa"/>
            </w:tcMar>
            <w:vAlign w:val="center"/>
          </w:tcPr>
          <w:p w14:paraId="33552435" w14:textId="77777777" w:rsidR="00CE32B4" w:rsidRDefault="00000000">
            <w:pPr>
              <w:spacing w:after="0" w:line="252" w:lineRule="auto"/>
            </w:pPr>
            <w:r>
              <w:rPr>
                <w:sz w:val="18"/>
              </w:rPr>
              <w:t>Moving parts</w:t>
            </w:r>
          </w:p>
        </w:tc>
        <w:tc>
          <w:tcPr>
            <w:tcW w:w="5329" w:type="dxa"/>
            <w:tcMar>
              <w:top w:w="110" w:type="dxa"/>
              <w:left w:w="120" w:type="dxa"/>
              <w:bottom w:w="110" w:type="dxa"/>
              <w:right w:w="120" w:type="dxa"/>
            </w:tcMar>
            <w:vAlign w:val="center"/>
          </w:tcPr>
          <w:p w14:paraId="645AD400" w14:textId="77777777" w:rsidR="00CE32B4" w:rsidRDefault="00000000">
            <w:pPr>
              <w:spacing w:after="0" w:line="252" w:lineRule="auto"/>
            </w:pPr>
            <w:r>
              <w:rPr>
                <w:sz w:val="18"/>
              </w:rPr>
              <w:t>Covers pinch points, meshing gears and unexpected movement. MS2 and MS3 parts normally require an equipment safeguard against finger entry or entanglement.</w:t>
            </w:r>
          </w:p>
        </w:tc>
      </w:tr>
      <w:tr w:rsidR="00CE32B4" w14:paraId="60837012" w14:textId="77777777">
        <w:trPr>
          <w:jc w:val="center"/>
        </w:trPr>
        <w:tc>
          <w:tcPr>
            <w:tcW w:w="1814" w:type="dxa"/>
            <w:shd w:val="clear" w:color="auto" w:fill="F3F6F9"/>
            <w:tcMar>
              <w:top w:w="110" w:type="dxa"/>
              <w:left w:w="120" w:type="dxa"/>
              <w:bottom w:w="110" w:type="dxa"/>
              <w:right w:w="120" w:type="dxa"/>
            </w:tcMar>
            <w:vAlign w:val="center"/>
          </w:tcPr>
          <w:p w14:paraId="621536E6" w14:textId="77777777" w:rsidR="00CE32B4" w:rsidRDefault="00000000">
            <w:pPr>
              <w:spacing w:after="0" w:line="252" w:lineRule="auto"/>
            </w:pPr>
            <w:r>
              <w:rPr>
                <w:sz w:val="18"/>
              </w:rPr>
              <w:t>8.5.3</w:t>
            </w:r>
          </w:p>
        </w:tc>
        <w:tc>
          <w:tcPr>
            <w:tcW w:w="2324" w:type="dxa"/>
            <w:shd w:val="clear" w:color="auto" w:fill="F3F6F9"/>
            <w:tcMar>
              <w:top w:w="110" w:type="dxa"/>
              <w:left w:w="120" w:type="dxa"/>
              <w:bottom w:w="110" w:type="dxa"/>
              <w:right w:w="120" w:type="dxa"/>
            </w:tcMar>
            <w:vAlign w:val="center"/>
          </w:tcPr>
          <w:p w14:paraId="62E7F90F" w14:textId="77777777" w:rsidR="00CE32B4" w:rsidRDefault="00000000">
            <w:pPr>
              <w:spacing w:after="0" w:line="252" w:lineRule="auto"/>
            </w:pPr>
            <w:r>
              <w:rPr>
                <w:sz w:val="18"/>
              </w:rPr>
              <w:t>Compliance</w:t>
            </w:r>
          </w:p>
        </w:tc>
        <w:tc>
          <w:tcPr>
            <w:tcW w:w="5329" w:type="dxa"/>
            <w:shd w:val="clear" w:color="auto" w:fill="F3F6F9"/>
            <w:tcMar>
              <w:top w:w="110" w:type="dxa"/>
              <w:left w:w="120" w:type="dxa"/>
              <w:bottom w:w="110" w:type="dxa"/>
              <w:right w:w="120" w:type="dxa"/>
            </w:tcMar>
            <w:vAlign w:val="center"/>
          </w:tcPr>
          <w:p w14:paraId="784A96AD" w14:textId="77777777" w:rsidR="00CE32B4" w:rsidRDefault="00000000">
            <w:pPr>
              <w:spacing w:after="0" w:line="252" w:lineRule="auto"/>
            </w:pPr>
            <w:r>
              <w:rPr>
                <w:sz w:val="18"/>
              </w:rPr>
              <w:t>Check accessibility by inspection and, where necessary, by the relevant Annex V methods.</w:t>
            </w:r>
          </w:p>
        </w:tc>
      </w:tr>
      <w:tr w:rsidR="00CE32B4" w14:paraId="2E81ED71" w14:textId="77777777">
        <w:trPr>
          <w:jc w:val="center"/>
        </w:trPr>
        <w:tc>
          <w:tcPr>
            <w:tcW w:w="1814" w:type="dxa"/>
            <w:tcMar>
              <w:top w:w="110" w:type="dxa"/>
              <w:left w:w="120" w:type="dxa"/>
              <w:bottom w:w="110" w:type="dxa"/>
              <w:right w:w="120" w:type="dxa"/>
            </w:tcMar>
            <w:vAlign w:val="center"/>
          </w:tcPr>
          <w:p w14:paraId="2D6F3AE2" w14:textId="77777777" w:rsidR="00CE32B4" w:rsidRDefault="00000000">
            <w:pPr>
              <w:spacing w:after="0" w:line="252" w:lineRule="auto"/>
            </w:pPr>
            <w:r>
              <w:rPr>
                <w:sz w:val="18"/>
              </w:rPr>
              <w:t>Annex V.1.2</w:t>
            </w:r>
          </w:p>
        </w:tc>
        <w:tc>
          <w:tcPr>
            <w:tcW w:w="2324" w:type="dxa"/>
            <w:tcMar>
              <w:top w:w="110" w:type="dxa"/>
              <w:left w:w="120" w:type="dxa"/>
              <w:bottom w:w="110" w:type="dxa"/>
              <w:right w:w="120" w:type="dxa"/>
            </w:tcMar>
            <w:vAlign w:val="center"/>
          </w:tcPr>
          <w:p w14:paraId="1F32A980" w14:textId="77777777" w:rsidR="00CE32B4" w:rsidRDefault="00000000">
            <w:pPr>
              <w:spacing w:after="0" w:line="252" w:lineRule="auto"/>
            </w:pPr>
            <w:r>
              <w:rPr>
                <w:sz w:val="18"/>
              </w:rPr>
              <w:t>Jointed probes</w:t>
            </w:r>
          </w:p>
        </w:tc>
        <w:tc>
          <w:tcPr>
            <w:tcW w:w="5329" w:type="dxa"/>
            <w:tcMar>
              <w:top w:w="110" w:type="dxa"/>
              <w:left w:w="120" w:type="dxa"/>
              <w:bottom w:w="110" w:type="dxa"/>
              <w:right w:w="120" w:type="dxa"/>
            </w:tcMar>
            <w:vAlign w:val="center"/>
          </w:tcPr>
          <w:p w14:paraId="759D4C38" w14:textId="77777777" w:rsidR="00CE32B4" w:rsidRDefault="00000000">
            <w:pPr>
              <w:spacing w:after="0" w:line="252" w:lineRule="auto"/>
            </w:pPr>
            <w:r>
              <w:rPr>
                <w:sz w:val="18"/>
              </w:rPr>
              <w:t>Apply the applicable jointed probe to surfaces and openings in every possible position.</w:t>
            </w:r>
          </w:p>
        </w:tc>
      </w:tr>
      <w:tr w:rsidR="00CE32B4" w14:paraId="43F88DE7" w14:textId="77777777">
        <w:trPr>
          <w:jc w:val="center"/>
        </w:trPr>
        <w:tc>
          <w:tcPr>
            <w:tcW w:w="1814" w:type="dxa"/>
            <w:shd w:val="clear" w:color="auto" w:fill="F3F6F9"/>
            <w:tcMar>
              <w:top w:w="110" w:type="dxa"/>
              <w:left w:w="120" w:type="dxa"/>
              <w:bottom w:w="110" w:type="dxa"/>
              <w:right w:w="120" w:type="dxa"/>
            </w:tcMar>
            <w:vAlign w:val="center"/>
          </w:tcPr>
          <w:p w14:paraId="497ECD82" w14:textId="77777777" w:rsidR="00CE32B4" w:rsidRDefault="00000000">
            <w:pPr>
              <w:spacing w:after="0" w:line="252" w:lineRule="auto"/>
            </w:pPr>
            <w:r>
              <w:rPr>
                <w:sz w:val="18"/>
              </w:rPr>
              <w:t>Annex V.1.3</w:t>
            </w:r>
          </w:p>
        </w:tc>
        <w:tc>
          <w:tcPr>
            <w:tcW w:w="2324" w:type="dxa"/>
            <w:shd w:val="clear" w:color="auto" w:fill="F3F6F9"/>
            <w:tcMar>
              <w:top w:w="110" w:type="dxa"/>
              <w:left w:w="120" w:type="dxa"/>
              <w:bottom w:w="110" w:type="dxa"/>
              <w:right w:w="120" w:type="dxa"/>
            </w:tcMar>
            <w:vAlign w:val="center"/>
          </w:tcPr>
          <w:p w14:paraId="209EDCAE" w14:textId="77777777" w:rsidR="00CE32B4" w:rsidRDefault="00000000">
            <w:pPr>
              <w:spacing w:after="0" w:line="252" w:lineRule="auto"/>
            </w:pPr>
            <w:r>
              <w:rPr>
                <w:sz w:val="18"/>
              </w:rPr>
              <w:t>Straight probes</w:t>
            </w:r>
          </w:p>
        </w:tc>
        <w:tc>
          <w:tcPr>
            <w:tcW w:w="5329" w:type="dxa"/>
            <w:shd w:val="clear" w:color="auto" w:fill="F3F6F9"/>
            <w:tcMar>
              <w:top w:w="110" w:type="dxa"/>
              <w:left w:w="120" w:type="dxa"/>
              <w:bottom w:w="110" w:type="dxa"/>
              <w:right w:w="120" w:type="dxa"/>
            </w:tcMar>
            <w:vAlign w:val="center"/>
          </w:tcPr>
          <w:p w14:paraId="0984BAA2" w14:textId="77777777" w:rsidR="00CE32B4" w:rsidRDefault="00000000">
            <w:pPr>
              <w:spacing w:after="0" w:line="252" w:lineRule="auto"/>
            </w:pPr>
            <w:r>
              <w:rPr>
                <w:sz w:val="18"/>
              </w:rPr>
              <w:t>Use the corresponding straight probe at up to 30 N when the jointed probe does not initially gain access.</w:t>
            </w:r>
          </w:p>
        </w:tc>
      </w:tr>
      <w:tr w:rsidR="00CE32B4" w14:paraId="3E665606" w14:textId="77777777">
        <w:trPr>
          <w:jc w:val="center"/>
        </w:trPr>
        <w:tc>
          <w:tcPr>
            <w:tcW w:w="1814" w:type="dxa"/>
            <w:tcMar>
              <w:top w:w="110" w:type="dxa"/>
              <w:left w:w="120" w:type="dxa"/>
              <w:bottom w:w="110" w:type="dxa"/>
              <w:right w:w="120" w:type="dxa"/>
            </w:tcMar>
            <w:vAlign w:val="center"/>
          </w:tcPr>
          <w:p w14:paraId="3168A179" w14:textId="77777777" w:rsidR="00CE32B4" w:rsidRDefault="00000000">
            <w:pPr>
              <w:spacing w:after="0" w:line="252" w:lineRule="auto"/>
            </w:pPr>
            <w:r>
              <w:rPr>
                <w:sz w:val="18"/>
              </w:rPr>
              <w:t>Annex K</w:t>
            </w:r>
          </w:p>
        </w:tc>
        <w:tc>
          <w:tcPr>
            <w:tcW w:w="2324" w:type="dxa"/>
            <w:tcMar>
              <w:top w:w="110" w:type="dxa"/>
              <w:left w:w="120" w:type="dxa"/>
              <w:bottom w:w="110" w:type="dxa"/>
              <w:right w:w="120" w:type="dxa"/>
            </w:tcMar>
            <w:vAlign w:val="center"/>
          </w:tcPr>
          <w:p w14:paraId="16076E89" w14:textId="77777777" w:rsidR="00CE32B4" w:rsidRDefault="00000000">
            <w:pPr>
              <w:spacing w:after="0" w:line="252" w:lineRule="auto"/>
            </w:pPr>
            <w:r>
              <w:rPr>
                <w:sz w:val="18"/>
              </w:rPr>
              <w:t>Safety interlocks</w:t>
            </w:r>
          </w:p>
        </w:tc>
        <w:tc>
          <w:tcPr>
            <w:tcW w:w="5329" w:type="dxa"/>
            <w:tcMar>
              <w:top w:w="110" w:type="dxa"/>
              <w:left w:w="120" w:type="dxa"/>
              <w:bottom w:w="110" w:type="dxa"/>
              <w:right w:w="120" w:type="dxa"/>
            </w:tcMar>
            <w:vAlign w:val="center"/>
          </w:tcPr>
          <w:p w14:paraId="36282D80" w14:textId="77777777" w:rsidR="00CE32B4" w:rsidRDefault="00000000">
            <w:pPr>
              <w:spacing w:after="0" w:line="252" w:lineRule="auto"/>
            </w:pPr>
            <w:r>
              <w:rPr>
                <w:sz w:val="18"/>
              </w:rPr>
              <w:t>Where an interlock is the safeguard, movement must be reduced to MS1 before the part is accessible.</w:t>
            </w:r>
          </w:p>
        </w:tc>
      </w:tr>
    </w:tbl>
    <w:p w14:paraId="76FF0BCD" w14:textId="77777777" w:rsidR="00CE32B4" w:rsidRDefault="00000000">
      <w:r>
        <w:br w:type="page"/>
      </w:r>
    </w:p>
    <w:p w14:paraId="3174BFB2" w14:textId="77777777" w:rsidR="00CE32B4" w:rsidRDefault="00000000">
      <w:pPr>
        <w:pStyle w:val="Heading2"/>
      </w:pPr>
      <w:r>
        <w:lastRenderedPageBreak/>
        <w:t>Important limitation</w:t>
      </w:r>
    </w:p>
    <w:p w14:paraId="66EACBD4" w14:textId="77777777" w:rsidR="00CE32B4" w:rsidRDefault="00000000">
      <w:r>
        <w:t>EN 62368-1 does not provide one universal pinch-force value for all moving mechanisms. The classification of general moving parts relies on the outcome described by Table 35 and on engineering judgement. Shape, speed, available force or torque, closing gap, cycle, likelihood of trapping, elasticity and the affected body part all influence the classification.</w:t>
      </w:r>
    </w:p>
    <w:p w14:paraId="589A7EBF" w14:textId="77777777" w:rsidR="00CE32B4" w:rsidRDefault="00000000">
      <w:pPr>
        <w:pStyle w:val="Heading1"/>
      </w:pPr>
      <w:r>
        <w:t>Probe selection</w:t>
      </w:r>
    </w:p>
    <w:p w14:paraId="39FD5375" w14:textId="77777777" w:rsidR="00CE32B4" w:rsidRDefault="00000000">
      <w:r>
        <w:t>Select the jointed probe according to whether children are likely to have access to the equipment. The product location must be supported by the intended-use instructions and the real installation. A workplace label alone does not necessarily establish that children are unlikely to have access.</w:t>
      </w:r>
    </w:p>
    <w:p w14:paraId="467782D3" w14:textId="77777777" w:rsidR="00CE32B4" w:rsidRDefault="00000000">
      <w:pPr>
        <w:keepNext/>
        <w:jc w:val="center"/>
      </w:pPr>
      <w:r>
        <w:rPr>
          <w:noProof/>
        </w:rPr>
        <w:drawing>
          <wp:inline distT="0" distB="0" distL="0" distR="0" wp14:anchorId="5BDB4C6F" wp14:editId="07101B9D">
            <wp:extent cx="4680000" cy="2488064"/>
            <wp:effectExtent l="0" t="0" r="0" b="0"/>
            <wp:docPr id="2" name="Picture 2" descr="Decision diagram selecting the child-access or adult-access jointed pr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probe_selection.png"/>
                    <pic:cNvPicPr/>
                  </pic:nvPicPr>
                  <pic:blipFill>
                    <a:blip r:embed="rId9"/>
                    <a:stretch>
                      <a:fillRect/>
                    </a:stretch>
                  </pic:blipFill>
                  <pic:spPr>
                    <a:xfrm>
                      <a:off x="0" y="0"/>
                      <a:ext cx="4680000" cy="2488064"/>
                    </a:xfrm>
                    <a:prstGeom prst="rect">
                      <a:avLst/>
                    </a:prstGeom>
                  </pic:spPr>
                </pic:pic>
              </a:graphicData>
            </a:graphic>
          </wp:inline>
        </w:drawing>
      </w:r>
    </w:p>
    <w:p w14:paraId="71E2B1E4" w14:textId="77777777" w:rsidR="00CE32B4" w:rsidRDefault="00000000">
      <w:pPr>
        <w:spacing w:before="40" w:after="160"/>
        <w:jc w:val="center"/>
      </w:pPr>
      <w:r>
        <w:rPr>
          <w:i/>
          <w:color w:val="595959"/>
          <w:sz w:val="18"/>
        </w:rPr>
        <w:t>Figure 2  Selection of the applicable jointed test probe</w:t>
      </w:r>
    </w:p>
    <w:p w14:paraId="20CF5E7B" w14:textId="77777777" w:rsidR="00CE32B4" w:rsidRDefault="00000000">
      <w:pPr>
        <w:pStyle w:val="Heading2"/>
      </w:pPr>
      <w:r>
        <w:t>Required equipment</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2041"/>
        <w:gridCol w:w="3402"/>
        <w:gridCol w:w="4025"/>
      </w:tblGrid>
      <w:tr w:rsidR="00CE32B4" w14:paraId="5A5A44CE" w14:textId="77777777">
        <w:trPr>
          <w:tblHeader/>
          <w:jc w:val="center"/>
        </w:trPr>
        <w:tc>
          <w:tcPr>
            <w:tcW w:w="2041" w:type="dxa"/>
            <w:shd w:val="clear" w:color="auto" w:fill="17365D"/>
            <w:tcMar>
              <w:top w:w="110" w:type="dxa"/>
              <w:left w:w="120" w:type="dxa"/>
              <w:bottom w:w="110" w:type="dxa"/>
              <w:right w:w="120" w:type="dxa"/>
            </w:tcMar>
            <w:vAlign w:val="center"/>
          </w:tcPr>
          <w:p w14:paraId="4E6868D4" w14:textId="77777777" w:rsidR="00CE32B4" w:rsidRDefault="00000000">
            <w:pPr>
              <w:jc w:val="center"/>
            </w:pPr>
            <w:r>
              <w:rPr>
                <w:b/>
                <w:color w:val="FFFFFF"/>
                <w:sz w:val="18"/>
              </w:rPr>
              <w:t>Item</w:t>
            </w:r>
          </w:p>
        </w:tc>
        <w:tc>
          <w:tcPr>
            <w:tcW w:w="3402" w:type="dxa"/>
            <w:shd w:val="clear" w:color="auto" w:fill="17365D"/>
            <w:tcMar>
              <w:top w:w="110" w:type="dxa"/>
              <w:left w:w="120" w:type="dxa"/>
              <w:bottom w:w="110" w:type="dxa"/>
              <w:right w:w="120" w:type="dxa"/>
            </w:tcMar>
            <w:vAlign w:val="center"/>
          </w:tcPr>
          <w:p w14:paraId="168A662F" w14:textId="77777777" w:rsidR="00CE32B4" w:rsidRDefault="00000000">
            <w:pPr>
              <w:jc w:val="center"/>
            </w:pPr>
            <w:r>
              <w:rPr>
                <w:b/>
                <w:color w:val="FFFFFF"/>
                <w:sz w:val="18"/>
              </w:rPr>
              <w:t>Requirement</w:t>
            </w:r>
          </w:p>
        </w:tc>
        <w:tc>
          <w:tcPr>
            <w:tcW w:w="4025" w:type="dxa"/>
            <w:shd w:val="clear" w:color="auto" w:fill="17365D"/>
            <w:tcMar>
              <w:top w:w="110" w:type="dxa"/>
              <w:left w:w="120" w:type="dxa"/>
              <w:bottom w:w="110" w:type="dxa"/>
              <w:right w:w="120" w:type="dxa"/>
            </w:tcMar>
            <w:vAlign w:val="center"/>
          </w:tcPr>
          <w:p w14:paraId="567ED265" w14:textId="77777777" w:rsidR="00CE32B4" w:rsidRDefault="00000000">
            <w:pPr>
              <w:jc w:val="center"/>
            </w:pPr>
            <w:r>
              <w:rPr>
                <w:b/>
                <w:color w:val="FFFFFF"/>
                <w:sz w:val="18"/>
              </w:rPr>
              <w:t>Purpose</w:t>
            </w:r>
          </w:p>
        </w:tc>
      </w:tr>
      <w:tr w:rsidR="00CE32B4" w14:paraId="72F5423D" w14:textId="77777777">
        <w:trPr>
          <w:jc w:val="center"/>
        </w:trPr>
        <w:tc>
          <w:tcPr>
            <w:tcW w:w="2041" w:type="dxa"/>
            <w:tcMar>
              <w:top w:w="110" w:type="dxa"/>
              <w:left w:w="120" w:type="dxa"/>
              <w:bottom w:w="110" w:type="dxa"/>
              <w:right w:w="120" w:type="dxa"/>
            </w:tcMar>
            <w:vAlign w:val="center"/>
          </w:tcPr>
          <w:p w14:paraId="540E840D" w14:textId="77777777" w:rsidR="00CE32B4" w:rsidRDefault="00000000">
            <w:pPr>
              <w:spacing w:after="0" w:line="252" w:lineRule="auto"/>
            </w:pPr>
            <w:r>
              <w:rPr>
                <w:sz w:val="18"/>
              </w:rPr>
              <w:t>Jointed probe</w:t>
            </w:r>
          </w:p>
        </w:tc>
        <w:tc>
          <w:tcPr>
            <w:tcW w:w="3402" w:type="dxa"/>
            <w:tcMar>
              <w:top w:w="110" w:type="dxa"/>
              <w:left w:w="120" w:type="dxa"/>
              <w:bottom w:w="110" w:type="dxa"/>
              <w:right w:w="120" w:type="dxa"/>
            </w:tcMar>
            <w:vAlign w:val="center"/>
          </w:tcPr>
          <w:p w14:paraId="4BECD22B" w14:textId="77777777" w:rsidR="00CE32B4" w:rsidRDefault="00000000">
            <w:pPr>
              <w:spacing w:after="0" w:line="252" w:lineRule="auto"/>
            </w:pPr>
            <w:r>
              <w:rPr>
                <w:sz w:val="18"/>
              </w:rPr>
              <w:t>Probe conforming to Figure V.1 or V.2 as applicable</w:t>
            </w:r>
          </w:p>
        </w:tc>
        <w:tc>
          <w:tcPr>
            <w:tcW w:w="4025" w:type="dxa"/>
            <w:tcMar>
              <w:top w:w="110" w:type="dxa"/>
              <w:left w:w="120" w:type="dxa"/>
              <w:bottom w:w="110" w:type="dxa"/>
              <w:right w:w="120" w:type="dxa"/>
            </w:tcMar>
            <w:vAlign w:val="center"/>
          </w:tcPr>
          <w:p w14:paraId="5747A797" w14:textId="77777777" w:rsidR="00CE32B4" w:rsidRDefault="00000000">
            <w:pPr>
              <w:spacing w:after="0" w:line="252" w:lineRule="auto"/>
            </w:pPr>
            <w:r>
              <w:rPr>
                <w:sz w:val="18"/>
              </w:rPr>
              <w:t>Initial accessibility test</w:t>
            </w:r>
          </w:p>
        </w:tc>
      </w:tr>
      <w:tr w:rsidR="00CE32B4" w14:paraId="2789A47F" w14:textId="77777777">
        <w:trPr>
          <w:jc w:val="center"/>
        </w:trPr>
        <w:tc>
          <w:tcPr>
            <w:tcW w:w="2041" w:type="dxa"/>
            <w:shd w:val="clear" w:color="auto" w:fill="F3F6F9"/>
            <w:tcMar>
              <w:top w:w="110" w:type="dxa"/>
              <w:left w:w="120" w:type="dxa"/>
              <w:bottom w:w="110" w:type="dxa"/>
              <w:right w:w="120" w:type="dxa"/>
            </w:tcMar>
            <w:vAlign w:val="center"/>
          </w:tcPr>
          <w:p w14:paraId="45FB1E10" w14:textId="77777777" w:rsidR="00CE32B4" w:rsidRDefault="00000000">
            <w:pPr>
              <w:spacing w:after="0" w:line="252" w:lineRule="auto"/>
            </w:pPr>
            <w:r>
              <w:rPr>
                <w:sz w:val="18"/>
              </w:rPr>
              <w:t>Straight probe</w:t>
            </w:r>
          </w:p>
        </w:tc>
        <w:tc>
          <w:tcPr>
            <w:tcW w:w="3402" w:type="dxa"/>
            <w:shd w:val="clear" w:color="auto" w:fill="F3F6F9"/>
            <w:tcMar>
              <w:top w:w="110" w:type="dxa"/>
              <w:left w:w="120" w:type="dxa"/>
              <w:bottom w:w="110" w:type="dxa"/>
              <w:right w:w="120" w:type="dxa"/>
            </w:tcMar>
            <w:vAlign w:val="center"/>
          </w:tcPr>
          <w:p w14:paraId="4DBD280C" w14:textId="77777777" w:rsidR="00CE32B4" w:rsidRDefault="00000000">
            <w:pPr>
              <w:spacing w:after="0" w:line="252" w:lineRule="auto"/>
            </w:pPr>
            <w:r>
              <w:rPr>
                <w:sz w:val="18"/>
              </w:rPr>
              <w:t>Unjointed version corresponding to the selected jointed probe</w:t>
            </w:r>
          </w:p>
        </w:tc>
        <w:tc>
          <w:tcPr>
            <w:tcW w:w="4025" w:type="dxa"/>
            <w:shd w:val="clear" w:color="auto" w:fill="F3F6F9"/>
            <w:tcMar>
              <w:top w:w="110" w:type="dxa"/>
              <w:left w:w="120" w:type="dxa"/>
              <w:bottom w:w="110" w:type="dxa"/>
              <w:right w:w="120" w:type="dxa"/>
            </w:tcMar>
            <w:vAlign w:val="center"/>
          </w:tcPr>
          <w:p w14:paraId="6CB64533" w14:textId="77777777" w:rsidR="00CE32B4" w:rsidRDefault="00000000">
            <w:pPr>
              <w:spacing w:after="0" w:line="252" w:lineRule="auto"/>
            </w:pPr>
            <w:r>
              <w:rPr>
                <w:sz w:val="18"/>
              </w:rPr>
              <w:t>Conditional 30 N opening test</w:t>
            </w:r>
          </w:p>
        </w:tc>
      </w:tr>
      <w:tr w:rsidR="00CE32B4" w14:paraId="7B8ABAB2" w14:textId="77777777">
        <w:trPr>
          <w:jc w:val="center"/>
        </w:trPr>
        <w:tc>
          <w:tcPr>
            <w:tcW w:w="2041" w:type="dxa"/>
            <w:tcMar>
              <w:top w:w="110" w:type="dxa"/>
              <w:left w:w="120" w:type="dxa"/>
              <w:bottom w:w="110" w:type="dxa"/>
              <w:right w:w="120" w:type="dxa"/>
            </w:tcMar>
            <w:vAlign w:val="center"/>
          </w:tcPr>
          <w:p w14:paraId="6678766C" w14:textId="77777777" w:rsidR="00CE32B4" w:rsidRDefault="00000000">
            <w:pPr>
              <w:spacing w:after="0" w:line="252" w:lineRule="auto"/>
            </w:pPr>
            <w:r>
              <w:rPr>
                <w:sz w:val="18"/>
              </w:rPr>
              <w:t>Force gauge</w:t>
            </w:r>
          </w:p>
        </w:tc>
        <w:tc>
          <w:tcPr>
            <w:tcW w:w="3402" w:type="dxa"/>
            <w:tcMar>
              <w:top w:w="110" w:type="dxa"/>
              <w:left w:w="120" w:type="dxa"/>
              <w:bottom w:w="110" w:type="dxa"/>
              <w:right w:w="120" w:type="dxa"/>
            </w:tcMar>
            <w:vAlign w:val="center"/>
          </w:tcPr>
          <w:p w14:paraId="366408B8" w14:textId="77777777" w:rsidR="00CE32B4" w:rsidRDefault="00000000">
            <w:pPr>
              <w:spacing w:after="0" w:line="252" w:lineRule="auto"/>
            </w:pPr>
            <w:r>
              <w:rPr>
                <w:sz w:val="18"/>
              </w:rPr>
              <w:t>Suitable range and current calibration</w:t>
            </w:r>
          </w:p>
        </w:tc>
        <w:tc>
          <w:tcPr>
            <w:tcW w:w="4025" w:type="dxa"/>
            <w:tcMar>
              <w:top w:w="110" w:type="dxa"/>
              <w:left w:w="120" w:type="dxa"/>
              <w:bottom w:w="110" w:type="dxa"/>
              <w:right w:w="120" w:type="dxa"/>
            </w:tcMar>
            <w:vAlign w:val="center"/>
          </w:tcPr>
          <w:p w14:paraId="36AF3B82" w14:textId="77777777" w:rsidR="00CE32B4" w:rsidRDefault="00000000">
            <w:pPr>
              <w:spacing w:after="0" w:line="252" w:lineRule="auto"/>
            </w:pPr>
            <w:r>
              <w:rPr>
                <w:sz w:val="18"/>
              </w:rPr>
              <w:t>Control and record the 30 N application</w:t>
            </w:r>
          </w:p>
        </w:tc>
      </w:tr>
      <w:tr w:rsidR="00CE32B4" w14:paraId="25DE7858" w14:textId="77777777">
        <w:trPr>
          <w:jc w:val="center"/>
        </w:trPr>
        <w:tc>
          <w:tcPr>
            <w:tcW w:w="2041" w:type="dxa"/>
            <w:shd w:val="clear" w:color="auto" w:fill="F3F6F9"/>
            <w:tcMar>
              <w:top w:w="110" w:type="dxa"/>
              <w:left w:w="120" w:type="dxa"/>
              <w:bottom w:w="110" w:type="dxa"/>
              <w:right w:w="120" w:type="dxa"/>
            </w:tcMar>
            <w:vAlign w:val="center"/>
          </w:tcPr>
          <w:p w14:paraId="14294204" w14:textId="77777777" w:rsidR="00CE32B4" w:rsidRDefault="00000000">
            <w:pPr>
              <w:spacing w:after="0" w:line="252" w:lineRule="auto"/>
            </w:pPr>
            <w:r>
              <w:rPr>
                <w:sz w:val="18"/>
              </w:rPr>
              <w:t>Contact indication</w:t>
            </w:r>
          </w:p>
        </w:tc>
        <w:tc>
          <w:tcPr>
            <w:tcW w:w="3402" w:type="dxa"/>
            <w:shd w:val="clear" w:color="auto" w:fill="F3F6F9"/>
            <w:tcMar>
              <w:top w:w="110" w:type="dxa"/>
              <w:left w:w="120" w:type="dxa"/>
              <w:bottom w:w="110" w:type="dxa"/>
              <w:right w:w="120" w:type="dxa"/>
            </w:tcMar>
            <w:vAlign w:val="center"/>
          </w:tcPr>
          <w:p w14:paraId="0DD656F8" w14:textId="77777777" w:rsidR="00CE32B4" w:rsidRDefault="00000000">
            <w:pPr>
              <w:spacing w:after="0" w:line="252" w:lineRule="auto"/>
            </w:pPr>
            <w:r>
              <w:rPr>
                <w:sz w:val="18"/>
              </w:rPr>
              <w:t>Low-energy continuity circuit, removable transfer medium or clear visual method</w:t>
            </w:r>
          </w:p>
        </w:tc>
        <w:tc>
          <w:tcPr>
            <w:tcW w:w="4025" w:type="dxa"/>
            <w:shd w:val="clear" w:color="auto" w:fill="F3F6F9"/>
            <w:tcMar>
              <w:top w:w="110" w:type="dxa"/>
              <w:left w:w="120" w:type="dxa"/>
              <w:bottom w:w="110" w:type="dxa"/>
              <w:right w:w="120" w:type="dxa"/>
            </w:tcMar>
            <w:vAlign w:val="center"/>
          </w:tcPr>
          <w:p w14:paraId="72D30E74" w14:textId="77777777" w:rsidR="00CE32B4" w:rsidRDefault="00000000">
            <w:pPr>
              <w:spacing w:after="0" w:line="252" w:lineRule="auto"/>
            </w:pPr>
            <w:r>
              <w:rPr>
                <w:sz w:val="18"/>
              </w:rPr>
              <w:t>Determine contact without exposing the tester to the mechanism</w:t>
            </w:r>
          </w:p>
        </w:tc>
      </w:tr>
      <w:tr w:rsidR="00CE32B4" w14:paraId="07AC46C0" w14:textId="77777777">
        <w:trPr>
          <w:jc w:val="center"/>
        </w:trPr>
        <w:tc>
          <w:tcPr>
            <w:tcW w:w="2041" w:type="dxa"/>
            <w:tcMar>
              <w:top w:w="110" w:type="dxa"/>
              <w:left w:w="120" w:type="dxa"/>
              <w:bottom w:w="110" w:type="dxa"/>
              <w:right w:w="120" w:type="dxa"/>
            </w:tcMar>
            <w:vAlign w:val="center"/>
          </w:tcPr>
          <w:p w14:paraId="62BB99B7" w14:textId="77777777" w:rsidR="00CE32B4" w:rsidRDefault="00000000">
            <w:pPr>
              <w:spacing w:after="0" w:line="252" w:lineRule="auto"/>
            </w:pPr>
            <w:r>
              <w:rPr>
                <w:sz w:val="18"/>
              </w:rPr>
              <w:t>Camera and scale</w:t>
            </w:r>
          </w:p>
        </w:tc>
        <w:tc>
          <w:tcPr>
            <w:tcW w:w="3402" w:type="dxa"/>
            <w:tcMar>
              <w:top w:w="110" w:type="dxa"/>
              <w:left w:w="120" w:type="dxa"/>
              <w:bottom w:w="110" w:type="dxa"/>
              <w:right w:w="120" w:type="dxa"/>
            </w:tcMar>
            <w:vAlign w:val="center"/>
          </w:tcPr>
          <w:p w14:paraId="5204E1D6" w14:textId="77777777" w:rsidR="00CE32B4" w:rsidRDefault="00000000">
            <w:pPr>
              <w:spacing w:after="0" w:line="252" w:lineRule="auto"/>
            </w:pPr>
            <w:r>
              <w:rPr>
                <w:sz w:val="18"/>
              </w:rPr>
              <w:t>Photograph or video with a dimensional scale</w:t>
            </w:r>
          </w:p>
        </w:tc>
        <w:tc>
          <w:tcPr>
            <w:tcW w:w="4025" w:type="dxa"/>
            <w:tcMar>
              <w:top w:w="110" w:type="dxa"/>
              <w:left w:w="120" w:type="dxa"/>
              <w:bottom w:w="110" w:type="dxa"/>
              <w:right w:w="120" w:type="dxa"/>
            </w:tcMar>
            <w:vAlign w:val="center"/>
          </w:tcPr>
          <w:p w14:paraId="2058BF36" w14:textId="77777777" w:rsidR="00CE32B4" w:rsidRDefault="00000000">
            <w:pPr>
              <w:spacing w:after="0" w:line="252" w:lineRule="auto"/>
            </w:pPr>
            <w:r>
              <w:rPr>
                <w:sz w:val="18"/>
              </w:rPr>
              <w:t>Evidence of opening, probe orientation and contact result</w:t>
            </w:r>
          </w:p>
        </w:tc>
      </w:tr>
      <w:tr w:rsidR="00CE32B4" w14:paraId="3E2C206F" w14:textId="77777777">
        <w:trPr>
          <w:jc w:val="center"/>
        </w:trPr>
        <w:tc>
          <w:tcPr>
            <w:tcW w:w="2041" w:type="dxa"/>
            <w:shd w:val="clear" w:color="auto" w:fill="F3F6F9"/>
            <w:tcMar>
              <w:top w:w="110" w:type="dxa"/>
              <w:left w:w="120" w:type="dxa"/>
              <w:bottom w:w="110" w:type="dxa"/>
              <w:right w:w="120" w:type="dxa"/>
            </w:tcMar>
            <w:vAlign w:val="center"/>
          </w:tcPr>
          <w:p w14:paraId="7722D5D7" w14:textId="77777777" w:rsidR="00CE32B4" w:rsidRDefault="00000000">
            <w:pPr>
              <w:spacing w:after="0" w:line="252" w:lineRule="auto"/>
            </w:pPr>
            <w:r>
              <w:rPr>
                <w:sz w:val="18"/>
              </w:rPr>
              <w:t>Isolation and controls</w:t>
            </w:r>
          </w:p>
        </w:tc>
        <w:tc>
          <w:tcPr>
            <w:tcW w:w="3402" w:type="dxa"/>
            <w:shd w:val="clear" w:color="auto" w:fill="F3F6F9"/>
            <w:tcMar>
              <w:top w:w="110" w:type="dxa"/>
              <w:left w:w="120" w:type="dxa"/>
              <w:bottom w:w="110" w:type="dxa"/>
              <w:right w:w="120" w:type="dxa"/>
            </w:tcMar>
            <w:vAlign w:val="center"/>
          </w:tcPr>
          <w:p w14:paraId="0E728BC0" w14:textId="77777777" w:rsidR="00CE32B4" w:rsidRDefault="00000000">
            <w:pPr>
              <w:spacing w:after="0" w:line="252" w:lineRule="auto"/>
            </w:pPr>
            <w:r>
              <w:rPr>
                <w:sz w:val="18"/>
              </w:rPr>
              <w:t>Safe isolation, remote start and emergency stop</w:t>
            </w:r>
          </w:p>
        </w:tc>
        <w:tc>
          <w:tcPr>
            <w:tcW w:w="4025" w:type="dxa"/>
            <w:shd w:val="clear" w:color="auto" w:fill="F3F6F9"/>
            <w:tcMar>
              <w:top w:w="110" w:type="dxa"/>
              <w:left w:w="120" w:type="dxa"/>
              <w:bottom w:w="110" w:type="dxa"/>
              <w:right w:w="120" w:type="dxa"/>
            </w:tcMar>
            <w:vAlign w:val="center"/>
          </w:tcPr>
          <w:p w14:paraId="5B67F4ED" w14:textId="77777777" w:rsidR="00CE32B4" w:rsidRDefault="00000000">
            <w:pPr>
              <w:spacing w:after="0" w:line="252" w:lineRule="auto"/>
            </w:pPr>
            <w:r>
              <w:rPr>
                <w:sz w:val="18"/>
              </w:rPr>
              <w:t>Personnel safety during powered checks</w:t>
            </w:r>
          </w:p>
        </w:tc>
      </w:tr>
    </w:tbl>
    <w:p w14:paraId="3DE51139" w14:textId="77777777" w:rsidR="00CE32B4" w:rsidRDefault="00000000">
      <w:r>
        <w:br w:type="page"/>
      </w:r>
    </w:p>
    <w:p w14:paraId="17D29BD0" w14:textId="77777777" w:rsidR="00CE32B4" w:rsidRDefault="00000000">
      <w:pPr>
        <w:pStyle w:val="Heading1"/>
      </w:pPr>
      <w:r>
        <w:lastRenderedPageBreak/>
        <w:t>Test preparation</w:t>
      </w:r>
    </w:p>
    <w:p w14:paraId="05B047D1" w14:textId="77777777" w:rsidR="00CE32B4" w:rsidRDefault="00000000">
      <w:r>
        <w:t>Do not substitute an actual finger, an IP test probe selected for another standard, or an unverified homemade gauge for the specified Annex V probe when claiming compliance.</w:t>
      </w:r>
    </w:p>
    <w:p w14:paraId="56BFDAD1" w14:textId="77777777" w:rsidR="00CE32B4" w:rsidRDefault="00000000">
      <w:pPr>
        <w:ind w:left="369" w:hanging="312"/>
      </w:pPr>
      <w:r>
        <w:rPr>
          <w:b/>
        </w:rPr>
        <w:t xml:space="preserve">1.  </w:t>
      </w:r>
      <w:r>
        <w:t>Identify the foreseeable user. Unless access is restricted and justified, treat the operator as an ordinary person.</w:t>
      </w:r>
    </w:p>
    <w:p w14:paraId="193A5F1E" w14:textId="77777777" w:rsidR="00CE32B4" w:rsidRDefault="00000000">
      <w:pPr>
        <w:ind w:left="369" w:hanging="312"/>
      </w:pPr>
      <w:r>
        <w:rPr>
          <w:b/>
        </w:rPr>
        <w:t xml:space="preserve">2.  </w:t>
      </w:r>
      <w:r>
        <w:t>Identify whether the product is likely to be accessible to children and select Figure V.1 or Figure V.2 accordingly.</w:t>
      </w:r>
    </w:p>
    <w:p w14:paraId="6F5FB78B" w14:textId="77777777" w:rsidR="00CE32B4" w:rsidRDefault="00000000">
      <w:pPr>
        <w:ind w:left="369" w:hanging="312"/>
      </w:pPr>
      <w:r>
        <w:rPr>
          <w:b/>
        </w:rPr>
        <w:t xml:space="preserve">3.  </w:t>
      </w:r>
      <w:r>
        <w:t>Install the equipment exactly as instructed. Fit required brackets, panels and external accessories.</w:t>
      </w:r>
    </w:p>
    <w:p w14:paraId="461151CC" w14:textId="77777777" w:rsidR="00CE32B4" w:rsidRDefault="00000000">
      <w:pPr>
        <w:ind w:left="369" w:hanging="312"/>
      </w:pPr>
      <w:r>
        <w:rPr>
          <w:b/>
        </w:rPr>
        <w:t xml:space="preserve">4.  </w:t>
      </w:r>
      <w:r>
        <w:t>Place doors, covers, controls, adjustable parts and removable user parts in every position available without a tool. Also follow any instruction that directs a person to open or remove a part, even if a tool is specified.</w:t>
      </w:r>
    </w:p>
    <w:p w14:paraId="217BD428" w14:textId="77777777" w:rsidR="00CE32B4" w:rsidRDefault="00000000">
      <w:pPr>
        <w:ind w:left="369" w:hanging="312"/>
      </w:pPr>
      <w:r>
        <w:rPr>
          <w:b/>
        </w:rPr>
        <w:t xml:space="preserve">5.  </w:t>
      </w:r>
      <w:r>
        <w:t>Record the hole dimensions, wall thickness, distance to the moving part and minimum pinch gap. Photograph the opening.</w:t>
      </w:r>
    </w:p>
    <w:p w14:paraId="2686BC3A" w14:textId="77777777" w:rsidR="00CE32B4" w:rsidRDefault="00000000">
      <w:pPr>
        <w:ind w:left="369" w:hanging="312"/>
      </w:pPr>
      <w:r>
        <w:rPr>
          <w:b/>
        </w:rPr>
        <w:t xml:space="preserve">6.  </w:t>
      </w:r>
      <w:r>
        <w:t>Identify the complete motion envelope, including coast-down, restart, unexpected reset and movement following a relevant single fault.</w:t>
      </w:r>
    </w:p>
    <w:p w14:paraId="19EFD1AB" w14:textId="77777777" w:rsidR="00CE32B4" w:rsidRDefault="00000000">
      <w:pPr>
        <w:ind w:left="369" w:hanging="312"/>
      </w:pPr>
      <w:r>
        <w:rPr>
          <w:b/>
        </w:rPr>
        <w:t xml:space="preserve">7.  </w:t>
      </w:r>
      <w:r>
        <w:t>For the geometric reach test, isolate the equipment and prevent unexpected movement. Place the mechanism at each worst-case point in its cycle where this can be done without changing the geometry.</w:t>
      </w:r>
    </w:p>
    <w:p w14:paraId="204B435F" w14:textId="77777777" w:rsidR="00CE32B4" w:rsidRDefault="00000000">
      <w:pPr>
        <w:ind w:left="369" w:hanging="312"/>
      </w:pPr>
      <w:r>
        <w:rPr>
          <w:b/>
        </w:rPr>
        <w:t xml:space="preserve">8.  </w:t>
      </w:r>
      <w:r>
        <w:t>Prepare a safe contact-indication method. Do not energize the mechanism merely to see whether it pinches the test probe.</w:t>
      </w:r>
    </w:p>
    <w:p w14:paraId="02645A79" w14:textId="77777777" w:rsidR="00CE32B4" w:rsidRDefault="00000000">
      <w:pPr>
        <w:pStyle w:val="Heading2"/>
      </w:pPr>
      <w:r>
        <w:t>Safety during the assessment</w:t>
      </w:r>
    </w:p>
    <w:p w14:paraId="5EEF87F5" w14:textId="77777777" w:rsidR="00CE32B4" w:rsidRDefault="00000000">
      <w:r>
        <w:t>The standardized probe represents a body part; it is not permission to expose the tester to the hazard. Establish physical isolation for reach measurements. Interlock and stopping-time checks may require powered operation, but they should be conducted using guarded remote controls, suitable instrumentation and an emergency stop. Stop immediately if the probe could be drawn into or damaged by the mechanism.</w:t>
      </w:r>
    </w:p>
    <w:p w14:paraId="263F9E18" w14:textId="77777777" w:rsidR="00CE32B4" w:rsidRDefault="00000000">
      <w:r>
        <w:br w:type="page"/>
      </w:r>
    </w:p>
    <w:p w14:paraId="71A0D243" w14:textId="77777777" w:rsidR="00CE32B4" w:rsidRDefault="00000000">
      <w:pPr>
        <w:pStyle w:val="Heading1"/>
      </w:pPr>
      <w:r>
        <w:lastRenderedPageBreak/>
        <w:t>Accessibility test method</w:t>
      </w:r>
    </w:p>
    <w:p w14:paraId="41AF427C" w14:textId="77777777" w:rsidR="00CE32B4" w:rsidRDefault="00000000">
      <w:pPr>
        <w:keepNext/>
        <w:jc w:val="center"/>
      </w:pPr>
      <w:r>
        <w:rPr>
          <w:noProof/>
        </w:rPr>
        <w:drawing>
          <wp:inline distT="0" distB="0" distL="0" distR="0" wp14:anchorId="10000EFC" wp14:editId="6D4B8ED2">
            <wp:extent cx="5328000" cy="3054015"/>
            <wp:effectExtent l="0" t="0" r="0" b="0"/>
            <wp:docPr id="3" name="Picture 3" descr="Flow diagram showing the initial jointed probe test and conditional straight probe 30 newton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3_test_sequence.png"/>
                    <pic:cNvPicPr/>
                  </pic:nvPicPr>
                  <pic:blipFill>
                    <a:blip r:embed="rId10"/>
                    <a:stretch>
                      <a:fillRect/>
                    </a:stretch>
                  </pic:blipFill>
                  <pic:spPr>
                    <a:xfrm>
                      <a:off x="0" y="0"/>
                      <a:ext cx="5328000" cy="3054015"/>
                    </a:xfrm>
                    <a:prstGeom prst="rect">
                      <a:avLst/>
                    </a:prstGeom>
                  </pic:spPr>
                </pic:pic>
              </a:graphicData>
            </a:graphic>
          </wp:inline>
        </w:drawing>
      </w:r>
    </w:p>
    <w:p w14:paraId="7B96697B" w14:textId="77777777" w:rsidR="00CE32B4" w:rsidRDefault="00000000">
      <w:pPr>
        <w:spacing w:before="40" w:after="160"/>
        <w:jc w:val="center"/>
      </w:pPr>
      <w:r>
        <w:rPr>
          <w:i/>
          <w:color w:val="595959"/>
          <w:sz w:val="18"/>
        </w:rPr>
        <w:t>Figure 3  Annex V sequence for the jointed and straight probes</w:t>
      </w:r>
    </w:p>
    <w:p w14:paraId="54599D1A" w14:textId="77777777" w:rsidR="00CE32B4" w:rsidRDefault="00000000">
      <w:pPr>
        <w:pStyle w:val="Heading2"/>
      </w:pPr>
      <w:r>
        <w:t>Initial jointed probe test</w:t>
      </w:r>
    </w:p>
    <w:p w14:paraId="0CECCD62" w14:textId="77777777" w:rsidR="00CE32B4" w:rsidRDefault="00000000">
      <w:pPr>
        <w:ind w:left="369" w:hanging="312"/>
      </w:pPr>
      <w:r>
        <w:rPr>
          <w:b/>
        </w:rPr>
        <w:t xml:space="preserve">1.  </w:t>
      </w:r>
      <w:r>
        <w:t>Apply the selected jointed probe to the hole without appreciable force. Do not force it through the opening during this initial step.</w:t>
      </w:r>
    </w:p>
    <w:p w14:paraId="738FE165" w14:textId="77777777" w:rsidR="00CE32B4" w:rsidRDefault="00000000">
      <w:pPr>
        <w:ind w:left="369" w:hanging="312"/>
      </w:pPr>
      <w:r>
        <w:rPr>
          <w:b/>
        </w:rPr>
        <w:t xml:space="preserve">2.  </w:t>
      </w:r>
      <w:r>
        <w:t>Rotate the probe around the full perimeter. Angle it upward, downward and sideways. Bend both joints through all useful positions and repeat from every approach that could reach the moving mechanism.</w:t>
      </w:r>
    </w:p>
    <w:p w14:paraId="71C6D3C1" w14:textId="77777777" w:rsidR="00CE32B4" w:rsidRDefault="00000000">
      <w:pPr>
        <w:ind w:left="369" w:hanging="312"/>
      </w:pPr>
      <w:r>
        <w:rPr>
          <w:b/>
        </w:rPr>
        <w:t xml:space="preserve">3.  </w:t>
      </w:r>
      <w:r>
        <w:t>Where the probe passes through the opening, explore the full reachable volume. Do not use the enclosure edge as an artificial stop unless the probe geometry naturally bears against it.</w:t>
      </w:r>
    </w:p>
    <w:p w14:paraId="73B67AE3" w14:textId="77777777" w:rsidR="00CE32B4" w:rsidRDefault="00000000">
      <w:pPr>
        <w:ind w:left="369" w:hanging="312"/>
      </w:pPr>
      <w:r>
        <w:rPr>
          <w:b/>
        </w:rPr>
        <w:t xml:space="preserve">4.  </w:t>
      </w:r>
      <w:r>
        <w:t>Repeat with the mechanism placed at each worst-case position in its travel. Include positions that create the smallest trapping gap or place the part nearest the opening.</w:t>
      </w:r>
    </w:p>
    <w:p w14:paraId="3A954655" w14:textId="77777777" w:rsidR="00CE32B4" w:rsidRDefault="00000000">
      <w:pPr>
        <w:ind w:left="369" w:hanging="312"/>
      </w:pPr>
      <w:r>
        <w:rPr>
          <w:b/>
        </w:rPr>
        <w:t xml:space="preserve">5.  </w:t>
      </w:r>
      <w:r>
        <w:t>Record whether any part of the probe touches the moving part or enters the area swept by it. Contact with the hazardous motion envelope counts as access even if the mechanism was safely stationary for the geometric check.</w:t>
      </w:r>
    </w:p>
    <w:p w14:paraId="0BB80C10" w14:textId="77777777" w:rsidR="00CE32B4" w:rsidRDefault="00000000">
      <w:pPr>
        <w:pStyle w:val="Heading2"/>
      </w:pPr>
      <w:r>
        <w:t>Conditional straight probe test</w:t>
      </w:r>
    </w:p>
    <w:p w14:paraId="2EB38BD8" w14:textId="77777777" w:rsidR="00CE32B4" w:rsidRDefault="00000000">
      <w:r>
        <w:t>Perform this step only where the applicable jointed probe does not gain access to the part:</w:t>
      </w:r>
    </w:p>
    <w:p w14:paraId="3908A2A1" w14:textId="77777777" w:rsidR="00CE32B4" w:rsidRDefault="00000000">
      <w:pPr>
        <w:ind w:left="369" w:hanging="312"/>
      </w:pPr>
      <w:r>
        <w:rPr>
          <w:b/>
        </w:rPr>
        <w:t xml:space="preserve">1.  </w:t>
      </w:r>
      <w:r>
        <w:t>Apply the corresponding straight unjointed probe to the opening with a steadily increased force up to 30 N in the direction most likely to enlarge or penetrate the opening.</w:t>
      </w:r>
    </w:p>
    <w:p w14:paraId="1B53C711" w14:textId="77777777" w:rsidR="00CE32B4" w:rsidRDefault="00000000">
      <w:pPr>
        <w:ind w:left="369" w:hanging="312"/>
      </w:pPr>
      <w:r>
        <w:rPr>
          <w:b/>
        </w:rPr>
        <w:t xml:space="preserve">2.  </w:t>
      </w:r>
      <w:r>
        <w:t>If the straight probe does not enter sufficiently to challenge the safeguard, record the result and stop this sequence.</w:t>
      </w:r>
    </w:p>
    <w:p w14:paraId="7808A313" w14:textId="77777777" w:rsidR="00CE32B4" w:rsidRDefault="00000000">
      <w:pPr>
        <w:ind w:left="369" w:hanging="312"/>
      </w:pPr>
      <w:r>
        <w:rPr>
          <w:b/>
        </w:rPr>
        <w:t xml:space="preserve">3.  </w:t>
      </w:r>
      <w:r>
        <w:t>If the straight probe enters, repeat the access test with the corresponding jointed probe. Use only the force necessary, up to 30 N, and articulate it through every possible position.</w:t>
      </w:r>
    </w:p>
    <w:p w14:paraId="7E65102D" w14:textId="77777777" w:rsidR="00CE32B4" w:rsidRDefault="00000000">
      <w:pPr>
        <w:ind w:left="369" w:hanging="312"/>
      </w:pPr>
      <w:r>
        <w:rPr>
          <w:b/>
        </w:rPr>
        <w:t xml:space="preserve">4.  </w:t>
      </w:r>
      <w:r>
        <w:t>Inspect the enclosure after the force test. Repeat the jointed-probe accessibility check if the opening, guard or surrounding material has permanently deformed.</w:t>
      </w:r>
    </w:p>
    <w:p w14:paraId="062A8D5B" w14:textId="77777777" w:rsidR="00CE32B4" w:rsidRDefault="00000000">
      <w:pPr>
        <w:pStyle w:val="Heading2"/>
      </w:pPr>
      <w:r>
        <w:lastRenderedPageBreak/>
        <w:t>Large openings</w:t>
      </w:r>
    </w:p>
    <w:p w14:paraId="297D8B0A" w14:textId="77777777" w:rsidR="00CE32B4" w:rsidRDefault="00000000">
      <w:r>
        <w:t>If the complete probe can pass through an opening large enough for an arm but not a shoulder, Annex V requires assessment within the specified 762 mm radius hemisphere behind the opening. This is unlikely to be the relevant case for a small finger-sized hole, but it should be checked if the opening is larger than first assumed.</w:t>
      </w:r>
    </w:p>
    <w:p w14:paraId="504BD433" w14:textId="77777777" w:rsidR="00CE32B4" w:rsidRDefault="00000000">
      <w:pPr>
        <w:pStyle w:val="Heading1"/>
      </w:pPr>
      <w:r>
        <w:t>Mechanical source classification</w:t>
      </w:r>
    </w:p>
    <w:p w14:paraId="08189301" w14:textId="77777777" w:rsidR="00CE32B4" w:rsidRDefault="00000000">
      <w:r>
        <w:t>Classify the moving part separately from the accessibility test. For a general pinch mechanism, use Table 35 line 2 together with Clauses 8.2 and 8.5. Do not classify the source solely from motor wattage or the fact that the mechanism moves slowly.</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1134"/>
        <w:gridCol w:w="2268"/>
        <w:gridCol w:w="3005"/>
        <w:gridCol w:w="3061"/>
      </w:tblGrid>
      <w:tr w:rsidR="00CE32B4" w14:paraId="1E5BB343" w14:textId="77777777">
        <w:trPr>
          <w:tblHeader/>
          <w:jc w:val="center"/>
        </w:trPr>
        <w:tc>
          <w:tcPr>
            <w:tcW w:w="1134" w:type="dxa"/>
            <w:shd w:val="clear" w:color="auto" w:fill="17365D"/>
            <w:tcMar>
              <w:top w:w="110" w:type="dxa"/>
              <w:left w:w="120" w:type="dxa"/>
              <w:bottom w:w="110" w:type="dxa"/>
              <w:right w:w="120" w:type="dxa"/>
            </w:tcMar>
            <w:vAlign w:val="center"/>
          </w:tcPr>
          <w:p w14:paraId="31CC451C" w14:textId="77777777" w:rsidR="00CE32B4" w:rsidRDefault="00000000">
            <w:pPr>
              <w:jc w:val="center"/>
            </w:pPr>
            <w:r>
              <w:rPr>
                <w:b/>
                <w:color w:val="FFFFFF"/>
                <w:sz w:val="18"/>
              </w:rPr>
              <w:t>Class</w:t>
            </w:r>
          </w:p>
        </w:tc>
        <w:tc>
          <w:tcPr>
            <w:tcW w:w="2268" w:type="dxa"/>
            <w:shd w:val="clear" w:color="auto" w:fill="17365D"/>
            <w:tcMar>
              <w:top w:w="110" w:type="dxa"/>
              <w:left w:w="120" w:type="dxa"/>
              <w:bottom w:w="110" w:type="dxa"/>
              <w:right w:w="120" w:type="dxa"/>
            </w:tcMar>
            <w:vAlign w:val="center"/>
          </w:tcPr>
          <w:p w14:paraId="04842269" w14:textId="77777777" w:rsidR="00CE32B4" w:rsidRDefault="00000000">
            <w:pPr>
              <w:jc w:val="center"/>
            </w:pPr>
            <w:r>
              <w:rPr>
                <w:b/>
                <w:color w:val="FFFFFF"/>
                <w:sz w:val="18"/>
              </w:rPr>
              <w:t>Typical body response</w:t>
            </w:r>
          </w:p>
        </w:tc>
        <w:tc>
          <w:tcPr>
            <w:tcW w:w="3005" w:type="dxa"/>
            <w:shd w:val="clear" w:color="auto" w:fill="17365D"/>
            <w:tcMar>
              <w:top w:w="110" w:type="dxa"/>
              <w:left w:w="120" w:type="dxa"/>
              <w:bottom w:w="110" w:type="dxa"/>
              <w:right w:w="120" w:type="dxa"/>
            </w:tcMar>
            <w:vAlign w:val="center"/>
          </w:tcPr>
          <w:p w14:paraId="5C28C473" w14:textId="77777777" w:rsidR="00CE32B4" w:rsidRDefault="00000000">
            <w:pPr>
              <w:jc w:val="center"/>
            </w:pPr>
            <w:r>
              <w:rPr>
                <w:b/>
                <w:color w:val="FFFFFF"/>
                <w:sz w:val="18"/>
              </w:rPr>
              <w:t>Pinch-point interpretation</w:t>
            </w:r>
          </w:p>
        </w:tc>
        <w:tc>
          <w:tcPr>
            <w:tcW w:w="3061" w:type="dxa"/>
            <w:shd w:val="clear" w:color="auto" w:fill="17365D"/>
            <w:tcMar>
              <w:top w:w="110" w:type="dxa"/>
              <w:left w:w="120" w:type="dxa"/>
              <w:bottom w:w="110" w:type="dxa"/>
              <w:right w:w="120" w:type="dxa"/>
            </w:tcMar>
            <w:vAlign w:val="center"/>
          </w:tcPr>
          <w:p w14:paraId="2305535C" w14:textId="77777777" w:rsidR="00CE32B4" w:rsidRDefault="00000000">
            <w:pPr>
              <w:jc w:val="center"/>
            </w:pPr>
            <w:r>
              <w:rPr>
                <w:b/>
                <w:color w:val="FFFFFF"/>
                <w:sz w:val="18"/>
              </w:rPr>
              <w:t>Evidence to record</w:t>
            </w:r>
          </w:p>
        </w:tc>
      </w:tr>
      <w:tr w:rsidR="00CE32B4" w14:paraId="0AC72CC2" w14:textId="77777777">
        <w:trPr>
          <w:jc w:val="center"/>
        </w:trPr>
        <w:tc>
          <w:tcPr>
            <w:tcW w:w="1134" w:type="dxa"/>
            <w:tcMar>
              <w:top w:w="110" w:type="dxa"/>
              <w:left w:w="120" w:type="dxa"/>
              <w:bottom w:w="110" w:type="dxa"/>
              <w:right w:w="120" w:type="dxa"/>
            </w:tcMar>
            <w:vAlign w:val="center"/>
          </w:tcPr>
          <w:p w14:paraId="3EF8C5B7" w14:textId="77777777" w:rsidR="00CE32B4" w:rsidRDefault="00000000">
            <w:pPr>
              <w:spacing w:after="0" w:line="252" w:lineRule="auto"/>
            </w:pPr>
            <w:r>
              <w:rPr>
                <w:sz w:val="18"/>
              </w:rPr>
              <w:t>MS1</w:t>
            </w:r>
          </w:p>
        </w:tc>
        <w:tc>
          <w:tcPr>
            <w:tcW w:w="2268" w:type="dxa"/>
            <w:tcMar>
              <w:top w:w="110" w:type="dxa"/>
              <w:left w:w="120" w:type="dxa"/>
              <w:bottom w:w="110" w:type="dxa"/>
              <w:right w:w="120" w:type="dxa"/>
            </w:tcMar>
            <w:vAlign w:val="center"/>
          </w:tcPr>
          <w:p w14:paraId="68C5D60B" w14:textId="77777777" w:rsidR="00CE32B4" w:rsidRDefault="00000000">
            <w:pPr>
              <w:spacing w:after="0" w:line="252" w:lineRule="auto"/>
            </w:pPr>
            <w:r>
              <w:rPr>
                <w:sz w:val="18"/>
              </w:rPr>
              <w:t>No pain or injury expected</w:t>
            </w:r>
          </w:p>
        </w:tc>
        <w:tc>
          <w:tcPr>
            <w:tcW w:w="3005" w:type="dxa"/>
            <w:tcMar>
              <w:top w:w="110" w:type="dxa"/>
              <w:left w:w="120" w:type="dxa"/>
              <w:bottom w:w="110" w:type="dxa"/>
              <w:right w:w="120" w:type="dxa"/>
            </w:tcMar>
            <w:vAlign w:val="center"/>
          </w:tcPr>
          <w:p w14:paraId="08B158AA" w14:textId="77777777" w:rsidR="00CE32B4" w:rsidRDefault="00000000">
            <w:pPr>
              <w:spacing w:after="0" w:line="252" w:lineRule="auto"/>
            </w:pPr>
            <w:r>
              <w:rPr>
                <w:sz w:val="18"/>
              </w:rPr>
              <w:t>Movement cannot produce a painful pinch in the applicable conditions. Under single fault, it does not exceed the permitted MS1 rule in 8.2.2.</w:t>
            </w:r>
          </w:p>
        </w:tc>
        <w:tc>
          <w:tcPr>
            <w:tcW w:w="3061" w:type="dxa"/>
            <w:tcMar>
              <w:top w:w="110" w:type="dxa"/>
              <w:left w:w="120" w:type="dxa"/>
              <w:bottom w:w="110" w:type="dxa"/>
              <w:right w:w="120" w:type="dxa"/>
            </w:tcMar>
            <w:vAlign w:val="center"/>
          </w:tcPr>
          <w:p w14:paraId="16A31E1E" w14:textId="77777777" w:rsidR="00CE32B4" w:rsidRDefault="00000000">
            <w:pPr>
              <w:spacing w:after="0" w:line="252" w:lineRule="auto"/>
            </w:pPr>
            <w:r>
              <w:rPr>
                <w:sz w:val="18"/>
              </w:rPr>
              <w:t>Force or torque, gap, speed, affected body part, cycle and fault analysis</w:t>
            </w:r>
          </w:p>
        </w:tc>
      </w:tr>
      <w:tr w:rsidR="00CE32B4" w14:paraId="6B7B1C6E" w14:textId="77777777">
        <w:trPr>
          <w:jc w:val="center"/>
        </w:trPr>
        <w:tc>
          <w:tcPr>
            <w:tcW w:w="1134" w:type="dxa"/>
            <w:shd w:val="clear" w:color="auto" w:fill="F3F6F9"/>
            <w:tcMar>
              <w:top w:w="110" w:type="dxa"/>
              <w:left w:w="120" w:type="dxa"/>
              <w:bottom w:w="110" w:type="dxa"/>
              <w:right w:w="120" w:type="dxa"/>
            </w:tcMar>
            <w:vAlign w:val="center"/>
          </w:tcPr>
          <w:p w14:paraId="160CC960" w14:textId="77777777" w:rsidR="00CE32B4" w:rsidRDefault="00000000">
            <w:pPr>
              <w:spacing w:after="0" w:line="252" w:lineRule="auto"/>
            </w:pPr>
            <w:r>
              <w:rPr>
                <w:sz w:val="18"/>
              </w:rPr>
              <w:t>MS2</w:t>
            </w:r>
          </w:p>
        </w:tc>
        <w:tc>
          <w:tcPr>
            <w:tcW w:w="2268" w:type="dxa"/>
            <w:shd w:val="clear" w:color="auto" w:fill="F3F6F9"/>
            <w:tcMar>
              <w:top w:w="110" w:type="dxa"/>
              <w:left w:w="120" w:type="dxa"/>
              <w:bottom w:w="110" w:type="dxa"/>
              <w:right w:w="120" w:type="dxa"/>
            </w:tcMar>
            <w:vAlign w:val="center"/>
          </w:tcPr>
          <w:p w14:paraId="03961283" w14:textId="77777777" w:rsidR="00CE32B4" w:rsidRDefault="00000000">
            <w:pPr>
              <w:spacing w:after="0" w:line="252" w:lineRule="auto"/>
            </w:pPr>
            <w:r>
              <w:rPr>
                <w:sz w:val="18"/>
              </w:rPr>
              <w:t>Pain may occur, but injury is not expected</w:t>
            </w:r>
          </w:p>
        </w:tc>
        <w:tc>
          <w:tcPr>
            <w:tcW w:w="3005" w:type="dxa"/>
            <w:shd w:val="clear" w:color="auto" w:fill="F3F6F9"/>
            <w:tcMar>
              <w:top w:w="110" w:type="dxa"/>
              <w:left w:w="120" w:type="dxa"/>
              <w:bottom w:w="110" w:type="dxa"/>
              <w:right w:w="120" w:type="dxa"/>
            </w:tcMar>
            <w:vAlign w:val="center"/>
          </w:tcPr>
          <w:p w14:paraId="2F50ECA1" w14:textId="77777777" w:rsidR="00CE32B4" w:rsidRDefault="00000000">
            <w:pPr>
              <w:spacing w:after="0" w:line="252" w:lineRule="auto"/>
            </w:pPr>
            <w:r>
              <w:rPr>
                <w:sz w:val="18"/>
              </w:rPr>
              <w:t>The pinch can be painful or cause a withdrawal reaction but is not expected to require medical treatment.</w:t>
            </w:r>
          </w:p>
        </w:tc>
        <w:tc>
          <w:tcPr>
            <w:tcW w:w="3061" w:type="dxa"/>
            <w:shd w:val="clear" w:color="auto" w:fill="F3F6F9"/>
            <w:tcMar>
              <w:top w:w="110" w:type="dxa"/>
              <w:left w:w="120" w:type="dxa"/>
              <w:bottom w:w="110" w:type="dxa"/>
              <w:right w:w="120" w:type="dxa"/>
            </w:tcMar>
            <w:vAlign w:val="center"/>
          </w:tcPr>
          <w:p w14:paraId="4E92A970" w14:textId="77777777" w:rsidR="00CE32B4" w:rsidRDefault="00000000">
            <w:pPr>
              <w:spacing w:after="0" w:line="252" w:lineRule="auto"/>
            </w:pPr>
            <w:r>
              <w:rPr>
                <w:sz w:val="18"/>
              </w:rPr>
              <w:t>Engineering assessment, representative testing and justification against Table 35 line 2</w:t>
            </w:r>
          </w:p>
        </w:tc>
      </w:tr>
      <w:tr w:rsidR="00CE32B4" w14:paraId="759395D8" w14:textId="77777777">
        <w:trPr>
          <w:jc w:val="center"/>
        </w:trPr>
        <w:tc>
          <w:tcPr>
            <w:tcW w:w="1134" w:type="dxa"/>
            <w:tcMar>
              <w:top w:w="110" w:type="dxa"/>
              <w:left w:w="120" w:type="dxa"/>
              <w:bottom w:w="110" w:type="dxa"/>
              <w:right w:w="120" w:type="dxa"/>
            </w:tcMar>
            <w:vAlign w:val="center"/>
          </w:tcPr>
          <w:p w14:paraId="6CFE93A1" w14:textId="77777777" w:rsidR="00CE32B4" w:rsidRDefault="00000000">
            <w:pPr>
              <w:spacing w:after="0" w:line="252" w:lineRule="auto"/>
            </w:pPr>
            <w:r>
              <w:rPr>
                <w:sz w:val="18"/>
              </w:rPr>
              <w:t>MS3</w:t>
            </w:r>
          </w:p>
        </w:tc>
        <w:tc>
          <w:tcPr>
            <w:tcW w:w="2268" w:type="dxa"/>
            <w:tcMar>
              <w:top w:w="110" w:type="dxa"/>
              <w:left w:w="120" w:type="dxa"/>
              <w:bottom w:w="110" w:type="dxa"/>
              <w:right w:w="120" w:type="dxa"/>
            </w:tcMar>
            <w:vAlign w:val="center"/>
          </w:tcPr>
          <w:p w14:paraId="7D728870" w14:textId="77777777" w:rsidR="00CE32B4" w:rsidRDefault="00000000">
            <w:pPr>
              <w:spacing w:after="0" w:line="252" w:lineRule="auto"/>
            </w:pPr>
            <w:r>
              <w:rPr>
                <w:sz w:val="18"/>
              </w:rPr>
              <w:t>Injury may occur</w:t>
            </w:r>
          </w:p>
        </w:tc>
        <w:tc>
          <w:tcPr>
            <w:tcW w:w="3005" w:type="dxa"/>
            <w:tcMar>
              <w:top w:w="110" w:type="dxa"/>
              <w:left w:w="120" w:type="dxa"/>
              <w:bottom w:w="110" w:type="dxa"/>
              <w:right w:w="120" w:type="dxa"/>
            </w:tcMar>
            <w:vAlign w:val="center"/>
          </w:tcPr>
          <w:p w14:paraId="2DE921C1" w14:textId="77777777" w:rsidR="00CE32B4" w:rsidRDefault="00000000">
            <w:pPr>
              <w:spacing w:after="0" w:line="252" w:lineRule="auto"/>
            </w:pPr>
            <w:r>
              <w:rPr>
                <w:sz w:val="18"/>
              </w:rPr>
              <w:t>The mechanism can crush, cut, trap or otherwise injure a finger. Medical or emergency attention may be needed.</w:t>
            </w:r>
          </w:p>
        </w:tc>
        <w:tc>
          <w:tcPr>
            <w:tcW w:w="3061" w:type="dxa"/>
            <w:tcMar>
              <w:top w:w="110" w:type="dxa"/>
              <w:left w:w="120" w:type="dxa"/>
              <w:bottom w:w="110" w:type="dxa"/>
              <w:right w:w="120" w:type="dxa"/>
            </w:tcMar>
            <w:vAlign w:val="center"/>
          </w:tcPr>
          <w:p w14:paraId="63C0C6B2" w14:textId="77777777" w:rsidR="00CE32B4" w:rsidRDefault="00000000">
            <w:pPr>
              <w:spacing w:after="0" w:line="252" w:lineRule="auto"/>
            </w:pPr>
            <w:r>
              <w:rPr>
                <w:sz w:val="18"/>
              </w:rPr>
              <w:t>Worst-case measurements, injury mechanism, stopping behaviour and fault conditions</w:t>
            </w:r>
          </w:p>
        </w:tc>
      </w:tr>
    </w:tbl>
    <w:p w14:paraId="39E870FC" w14:textId="77777777" w:rsidR="00CE32B4" w:rsidRDefault="00000000">
      <w:pPr>
        <w:pStyle w:val="Heading2"/>
      </w:pPr>
      <w:r>
        <w:t>Factors that should be considered</w:t>
      </w:r>
    </w:p>
    <w:p w14:paraId="25435495" w14:textId="77777777" w:rsidR="00CE32B4" w:rsidRDefault="00000000">
      <w:pPr>
        <w:pStyle w:val="ListBullet"/>
      </w:pPr>
      <w:r>
        <w:t>Maximum closing force and torque at the pinch point, including stall or jam conditions.</w:t>
      </w:r>
    </w:p>
    <w:p w14:paraId="23109439" w14:textId="77777777" w:rsidR="00CE32B4" w:rsidRDefault="00000000">
      <w:pPr>
        <w:pStyle w:val="ListBullet"/>
      </w:pPr>
      <w:r>
        <w:t>Closing speed, kinetic energy, available travel and whether force is maintained after trapping.</w:t>
      </w:r>
    </w:p>
    <w:p w14:paraId="4E131C1C" w14:textId="77777777" w:rsidR="00CE32B4" w:rsidRDefault="00000000">
      <w:pPr>
        <w:pStyle w:val="ListBullet"/>
      </w:pPr>
      <w:r>
        <w:t>Minimum gap, edge radius, contact area and whether the mechanism can cut as well as pinch.</w:t>
      </w:r>
    </w:p>
    <w:p w14:paraId="4E2A2A00" w14:textId="77777777" w:rsidR="00CE32B4" w:rsidRDefault="00000000">
      <w:pPr>
        <w:pStyle w:val="ListBullet"/>
      </w:pPr>
      <w:r>
        <w:t>Whether the finger can be drawn further into rollers, gears or belts.</w:t>
      </w:r>
    </w:p>
    <w:p w14:paraId="429A14F2" w14:textId="77777777" w:rsidR="00CE32B4" w:rsidRDefault="00000000">
      <w:pPr>
        <w:pStyle w:val="ListBullet"/>
      </w:pPr>
      <w:r>
        <w:t>Automatic restart, intermittent movement and unexpected reset of a control or protective device.</w:t>
      </w:r>
    </w:p>
    <w:p w14:paraId="2C2264AD" w14:textId="77777777" w:rsidR="00CE32B4" w:rsidRDefault="00000000">
      <w:pPr>
        <w:pStyle w:val="ListBullet"/>
      </w:pPr>
      <w:r>
        <w:t>Normal operation, abnormal operation and every relevant single fault condition.</w:t>
      </w:r>
    </w:p>
    <w:p w14:paraId="3E7D15BE" w14:textId="77777777" w:rsidR="00CE32B4" w:rsidRDefault="00000000">
      <w:pPr>
        <w:pStyle w:val="ListBullet"/>
      </w:pPr>
      <w:r>
        <w:t>The person and body part likely to be exposed, including children where applicable.</w:t>
      </w:r>
    </w:p>
    <w:p w14:paraId="5FB7EC25" w14:textId="77777777" w:rsidR="00CE32B4" w:rsidRDefault="00000000">
      <w:r>
        <w:t>If the actual mechanism has already pinched a finger, caused bruising, broken skin, trapping or similar effects, do not assume MS1. Treat it conservatively as at least MS2, and potentially MS3, until a competent product-safety assessment establishes the classification.</w:t>
      </w:r>
    </w:p>
    <w:p w14:paraId="2DEB2447" w14:textId="77777777" w:rsidR="00CE32B4" w:rsidRDefault="00000000">
      <w:pPr>
        <w:pStyle w:val="Heading1"/>
      </w:pPr>
      <w:r>
        <w:lastRenderedPageBreak/>
        <w:t>Pass and fail criteria</w:t>
      </w:r>
    </w:p>
    <w:p w14:paraId="30DB93A8" w14:textId="77777777" w:rsidR="00CE32B4" w:rsidRDefault="00000000">
      <w:pPr>
        <w:keepNext/>
        <w:jc w:val="center"/>
      </w:pPr>
      <w:r>
        <w:rPr>
          <w:noProof/>
        </w:rPr>
        <w:drawing>
          <wp:inline distT="0" distB="0" distL="0" distR="0" wp14:anchorId="06B2EDC0" wp14:editId="1957A21D">
            <wp:extent cx="5112000" cy="2732653"/>
            <wp:effectExtent l="0" t="0" r="0" b="0"/>
            <wp:docPr id="4" name="Picture 4" descr="Pass and fail diagram for access to MS2 or MS3 moving parts and interlock op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4_pass_fail.png"/>
                    <pic:cNvPicPr/>
                  </pic:nvPicPr>
                  <pic:blipFill>
                    <a:blip r:embed="rId11"/>
                    <a:stretch>
                      <a:fillRect/>
                    </a:stretch>
                  </pic:blipFill>
                  <pic:spPr>
                    <a:xfrm>
                      <a:off x="0" y="0"/>
                      <a:ext cx="5112000" cy="2732653"/>
                    </a:xfrm>
                    <a:prstGeom prst="rect">
                      <a:avLst/>
                    </a:prstGeom>
                  </pic:spPr>
                </pic:pic>
              </a:graphicData>
            </a:graphic>
          </wp:inline>
        </w:drawing>
      </w:r>
    </w:p>
    <w:p w14:paraId="72BC6207" w14:textId="77777777" w:rsidR="00CE32B4" w:rsidRDefault="00000000">
      <w:pPr>
        <w:spacing w:before="40" w:after="160"/>
        <w:jc w:val="center"/>
      </w:pPr>
      <w:r>
        <w:rPr>
          <w:i/>
          <w:color w:val="595959"/>
          <w:sz w:val="18"/>
        </w:rPr>
        <w:t>Figure 4  Principal pass and fail criteria for an ordinary person</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4025"/>
        <w:gridCol w:w="1814"/>
        <w:gridCol w:w="3628"/>
      </w:tblGrid>
      <w:tr w:rsidR="00CE32B4" w14:paraId="1879CE75" w14:textId="77777777">
        <w:trPr>
          <w:tblHeader/>
          <w:jc w:val="center"/>
        </w:trPr>
        <w:tc>
          <w:tcPr>
            <w:tcW w:w="4025" w:type="dxa"/>
            <w:shd w:val="clear" w:color="auto" w:fill="17365D"/>
            <w:tcMar>
              <w:top w:w="110" w:type="dxa"/>
              <w:left w:w="120" w:type="dxa"/>
              <w:bottom w:w="110" w:type="dxa"/>
              <w:right w:w="120" w:type="dxa"/>
            </w:tcMar>
            <w:vAlign w:val="center"/>
          </w:tcPr>
          <w:p w14:paraId="4009AA1E" w14:textId="77777777" w:rsidR="00CE32B4" w:rsidRDefault="00000000">
            <w:pPr>
              <w:jc w:val="center"/>
            </w:pPr>
            <w:r>
              <w:rPr>
                <w:b/>
                <w:color w:val="FFFFFF"/>
                <w:sz w:val="18"/>
              </w:rPr>
              <w:t>Observed result</w:t>
            </w:r>
          </w:p>
        </w:tc>
        <w:tc>
          <w:tcPr>
            <w:tcW w:w="1814" w:type="dxa"/>
            <w:shd w:val="clear" w:color="auto" w:fill="17365D"/>
            <w:tcMar>
              <w:top w:w="110" w:type="dxa"/>
              <w:left w:w="120" w:type="dxa"/>
              <w:bottom w:w="110" w:type="dxa"/>
              <w:right w:w="120" w:type="dxa"/>
            </w:tcMar>
            <w:vAlign w:val="center"/>
          </w:tcPr>
          <w:p w14:paraId="4DD0193D" w14:textId="77777777" w:rsidR="00CE32B4" w:rsidRDefault="00000000">
            <w:pPr>
              <w:jc w:val="center"/>
            </w:pPr>
            <w:r>
              <w:rPr>
                <w:b/>
                <w:color w:val="FFFFFF"/>
                <w:sz w:val="18"/>
              </w:rPr>
              <w:t>Decision</w:t>
            </w:r>
          </w:p>
        </w:tc>
        <w:tc>
          <w:tcPr>
            <w:tcW w:w="3628" w:type="dxa"/>
            <w:shd w:val="clear" w:color="auto" w:fill="17365D"/>
            <w:tcMar>
              <w:top w:w="110" w:type="dxa"/>
              <w:left w:w="120" w:type="dxa"/>
              <w:bottom w:w="110" w:type="dxa"/>
              <w:right w:w="120" w:type="dxa"/>
            </w:tcMar>
            <w:vAlign w:val="center"/>
          </w:tcPr>
          <w:p w14:paraId="436518EB" w14:textId="77777777" w:rsidR="00CE32B4" w:rsidRDefault="00000000">
            <w:pPr>
              <w:jc w:val="center"/>
            </w:pPr>
            <w:r>
              <w:rPr>
                <w:b/>
                <w:color w:val="FFFFFF"/>
                <w:sz w:val="18"/>
              </w:rPr>
              <w:t>Reason</w:t>
            </w:r>
          </w:p>
        </w:tc>
      </w:tr>
      <w:tr w:rsidR="00CE32B4" w14:paraId="3D71319D" w14:textId="77777777">
        <w:trPr>
          <w:jc w:val="center"/>
        </w:trPr>
        <w:tc>
          <w:tcPr>
            <w:tcW w:w="4025" w:type="dxa"/>
            <w:tcMar>
              <w:top w:w="110" w:type="dxa"/>
              <w:left w:w="120" w:type="dxa"/>
              <w:bottom w:w="110" w:type="dxa"/>
              <w:right w:w="120" w:type="dxa"/>
            </w:tcMar>
            <w:vAlign w:val="center"/>
          </w:tcPr>
          <w:p w14:paraId="13F2253D" w14:textId="77777777" w:rsidR="00CE32B4" w:rsidRDefault="00000000">
            <w:pPr>
              <w:spacing w:after="0" w:line="252" w:lineRule="auto"/>
            </w:pPr>
            <w:r>
              <w:rPr>
                <w:sz w:val="18"/>
              </w:rPr>
              <w:t>Probe cannot contact or enter the motion zone of an MS2 or MS3 part in any applicable configuration.</w:t>
            </w:r>
          </w:p>
        </w:tc>
        <w:tc>
          <w:tcPr>
            <w:tcW w:w="1814" w:type="dxa"/>
            <w:tcMar>
              <w:top w:w="110" w:type="dxa"/>
              <w:left w:w="120" w:type="dxa"/>
              <w:bottom w:w="110" w:type="dxa"/>
              <w:right w:w="120" w:type="dxa"/>
            </w:tcMar>
            <w:vAlign w:val="center"/>
          </w:tcPr>
          <w:p w14:paraId="4B8B5A9E" w14:textId="77777777" w:rsidR="00CE32B4" w:rsidRDefault="00000000">
            <w:pPr>
              <w:spacing w:after="0" w:line="252" w:lineRule="auto"/>
            </w:pPr>
            <w:r>
              <w:rPr>
                <w:sz w:val="18"/>
              </w:rPr>
              <w:t>PASS</w:t>
            </w:r>
          </w:p>
        </w:tc>
        <w:tc>
          <w:tcPr>
            <w:tcW w:w="3628" w:type="dxa"/>
            <w:tcMar>
              <w:top w:w="110" w:type="dxa"/>
              <w:left w:w="120" w:type="dxa"/>
              <w:bottom w:w="110" w:type="dxa"/>
              <w:right w:w="120" w:type="dxa"/>
            </w:tcMar>
            <w:vAlign w:val="center"/>
          </w:tcPr>
          <w:p w14:paraId="3C2047D9" w14:textId="77777777" w:rsidR="00CE32B4" w:rsidRDefault="00000000">
            <w:pPr>
              <w:spacing w:after="0" w:line="252" w:lineRule="auto"/>
            </w:pPr>
            <w:r>
              <w:rPr>
                <w:sz w:val="18"/>
              </w:rPr>
              <w:t>The enclosure or guard acts as the equipment safeguard.</w:t>
            </w:r>
          </w:p>
        </w:tc>
      </w:tr>
      <w:tr w:rsidR="00CE32B4" w14:paraId="3B94B53C" w14:textId="77777777">
        <w:trPr>
          <w:jc w:val="center"/>
        </w:trPr>
        <w:tc>
          <w:tcPr>
            <w:tcW w:w="4025" w:type="dxa"/>
            <w:shd w:val="clear" w:color="auto" w:fill="F3F6F9"/>
            <w:tcMar>
              <w:top w:w="110" w:type="dxa"/>
              <w:left w:w="120" w:type="dxa"/>
              <w:bottom w:w="110" w:type="dxa"/>
              <w:right w:w="120" w:type="dxa"/>
            </w:tcMar>
            <w:vAlign w:val="center"/>
          </w:tcPr>
          <w:p w14:paraId="3A892F73" w14:textId="77777777" w:rsidR="00CE32B4" w:rsidRDefault="00000000">
            <w:pPr>
              <w:spacing w:after="0" w:line="252" w:lineRule="auto"/>
            </w:pPr>
            <w:r>
              <w:rPr>
                <w:sz w:val="18"/>
              </w:rPr>
              <w:t>Probe contacts a part demonstrated to remain MS1 under the applicable operating and fault conditions.</w:t>
            </w:r>
          </w:p>
        </w:tc>
        <w:tc>
          <w:tcPr>
            <w:tcW w:w="1814" w:type="dxa"/>
            <w:shd w:val="clear" w:color="auto" w:fill="F3F6F9"/>
            <w:tcMar>
              <w:top w:w="110" w:type="dxa"/>
              <w:left w:w="120" w:type="dxa"/>
              <w:bottom w:w="110" w:type="dxa"/>
              <w:right w:w="120" w:type="dxa"/>
            </w:tcMar>
            <w:vAlign w:val="center"/>
          </w:tcPr>
          <w:p w14:paraId="3BEE1955" w14:textId="77777777" w:rsidR="00CE32B4" w:rsidRDefault="00000000">
            <w:pPr>
              <w:spacing w:after="0" w:line="252" w:lineRule="auto"/>
            </w:pPr>
            <w:r>
              <w:rPr>
                <w:sz w:val="18"/>
              </w:rPr>
              <w:t>PASS subject to full assessment</w:t>
            </w:r>
          </w:p>
        </w:tc>
        <w:tc>
          <w:tcPr>
            <w:tcW w:w="3628" w:type="dxa"/>
            <w:shd w:val="clear" w:color="auto" w:fill="F3F6F9"/>
            <w:tcMar>
              <w:top w:w="110" w:type="dxa"/>
              <w:left w:w="120" w:type="dxa"/>
              <w:bottom w:w="110" w:type="dxa"/>
              <w:right w:w="120" w:type="dxa"/>
            </w:tcMar>
            <w:vAlign w:val="center"/>
          </w:tcPr>
          <w:p w14:paraId="384EA174" w14:textId="77777777" w:rsidR="00CE32B4" w:rsidRDefault="00000000">
            <w:pPr>
              <w:spacing w:after="0" w:line="252" w:lineRule="auto"/>
            </w:pPr>
            <w:r>
              <w:rPr>
                <w:sz w:val="18"/>
              </w:rPr>
              <w:t>MS1 contact is generally permitted, but all other clauses and safeguards still apply.</w:t>
            </w:r>
          </w:p>
        </w:tc>
      </w:tr>
      <w:tr w:rsidR="00CE32B4" w14:paraId="74A2402A" w14:textId="77777777">
        <w:trPr>
          <w:jc w:val="center"/>
        </w:trPr>
        <w:tc>
          <w:tcPr>
            <w:tcW w:w="4025" w:type="dxa"/>
            <w:tcMar>
              <w:top w:w="110" w:type="dxa"/>
              <w:left w:w="120" w:type="dxa"/>
              <w:bottom w:w="110" w:type="dxa"/>
              <w:right w:w="120" w:type="dxa"/>
            </w:tcMar>
            <w:vAlign w:val="center"/>
          </w:tcPr>
          <w:p w14:paraId="52F98D52" w14:textId="77777777" w:rsidR="00CE32B4" w:rsidRDefault="00000000">
            <w:pPr>
              <w:spacing w:after="0" w:line="252" w:lineRule="auto"/>
            </w:pPr>
            <w:r>
              <w:rPr>
                <w:sz w:val="18"/>
              </w:rPr>
              <w:t>Probe contacts or enters the motion zone of an MS2 or MS3 pinch point.</w:t>
            </w:r>
          </w:p>
        </w:tc>
        <w:tc>
          <w:tcPr>
            <w:tcW w:w="1814" w:type="dxa"/>
            <w:tcMar>
              <w:top w:w="110" w:type="dxa"/>
              <w:left w:w="120" w:type="dxa"/>
              <w:bottom w:w="110" w:type="dxa"/>
              <w:right w:w="120" w:type="dxa"/>
            </w:tcMar>
            <w:vAlign w:val="center"/>
          </w:tcPr>
          <w:p w14:paraId="4AAF6A6A" w14:textId="77777777" w:rsidR="00CE32B4" w:rsidRDefault="00000000">
            <w:pPr>
              <w:spacing w:after="0" w:line="252" w:lineRule="auto"/>
            </w:pPr>
            <w:r>
              <w:rPr>
                <w:sz w:val="18"/>
              </w:rPr>
              <w:t>FAIL</w:t>
            </w:r>
          </w:p>
        </w:tc>
        <w:tc>
          <w:tcPr>
            <w:tcW w:w="3628" w:type="dxa"/>
            <w:tcMar>
              <w:top w:w="110" w:type="dxa"/>
              <w:left w:w="120" w:type="dxa"/>
              <w:bottom w:w="110" w:type="dxa"/>
              <w:right w:w="120" w:type="dxa"/>
            </w:tcMar>
            <w:vAlign w:val="center"/>
          </w:tcPr>
          <w:p w14:paraId="4692465D" w14:textId="77777777" w:rsidR="00CE32B4" w:rsidRDefault="00000000">
            <w:pPr>
              <w:spacing w:after="0" w:line="252" w:lineRule="auto"/>
            </w:pPr>
            <w:r>
              <w:rPr>
                <w:sz w:val="18"/>
              </w:rPr>
              <w:t>Clause 8.5 normally requires an equipment safeguard to prevent finger entry or contact.</w:t>
            </w:r>
          </w:p>
        </w:tc>
      </w:tr>
      <w:tr w:rsidR="00CE32B4" w14:paraId="54C50063" w14:textId="77777777">
        <w:trPr>
          <w:jc w:val="center"/>
        </w:trPr>
        <w:tc>
          <w:tcPr>
            <w:tcW w:w="4025" w:type="dxa"/>
            <w:shd w:val="clear" w:color="auto" w:fill="F3F6F9"/>
            <w:tcMar>
              <w:top w:w="110" w:type="dxa"/>
              <w:left w:w="120" w:type="dxa"/>
              <w:bottom w:w="110" w:type="dxa"/>
              <w:right w:w="120" w:type="dxa"/>
            </w:tcMar>
            <w:vAlign w:val="center"/>
          </w:tcPr>
          <w:p w14:paraId="0F84780F" w14:textId="77777777" w:rsidR="00CE32B4" w:rsidRDefault="00000000">
            <w:pPr>
              <w:spacing w:after="0" w:line="252" w:lineRule="auto"/>
            </w:pPr>
            <w:r>
              <w:rPr>
                <w:sz w:val="18"/>
              </w:rPr>
              <w:t>Opening deforms during the straight-probe test and the repeated jointed probe then reaches an MS2 or MS3 part.</w:t>
            </w:r>
          </w:p>
        </w:tc>
        <w:tc>
          <w:tcPr>
            <w:tcW w:w="1814" w:type="dxa"/>
            <w:shd w:val="clear" w:color="auto" w:fill="F3F6F9"/>
            <w:tcMar>
              <w:top w:w="110" w:type="dxa"/>
              <w:left w:w="120" w:type="dxa"/>
              <w:bottom w:w="110" w:type="dxa"/>
              <w:right w:w="120" w:type="dxa"/>
            </w:tcMar>
            <w:vAlign w:val="center"/>
          </w:tcPr>
          <w:p w14:paraId="67FE8108" w14:textId="77777777" w:rsidR="00CE32B4" w:rsidRDefault="00000000">
            <w:pPr>
              <w:spacing w:after="0" w:line="252" w:lineRule="auto"/>
            </w:pPr>
            <w:r>
              <w:rPr>
                <w:sz w:val="18"/>
              </w:rPr>
              <w:t>FAIL</w:t>
            </w:r>
          </w:p>
        </w:tc>
        <w:tc>
          <w:tcPr>
            <w:tcW w:w="3628" w:type="dxa"/>
            <w:shd w:val="clear" w:color="auto" w:fill="F3F6F9"/>
            <w:tcMar>
              <w:top w:w="110" w:type="dxa"/>
              <w:left w:w="120" w:type="dxa"/>
              <w:bottom w:w="110" w:type="dxa"/>
              <w:right w:w="120" w:type="dxa"/>
            </w:tcMar>
            <w:vAlign w:val="center"/>
          </w:tcPr>
          <w:p w14:paraId="29A908D8" w14:textId="77777777" w:rsidR="00CE32B4" w:rsidRDefault="00000000">
            <w:pPr>
              <w:spacing w:after="0" w:line="252" w:lineRule="auto"/>
            </w:pPr>
            <w:r>
              <w:rPr>
                <w:sz w:val="18"/>
              </w:rPr>
              <w:t>The safeguard does not remain effective under the Annex V force sequence.</w:t>
            </w:r>
          </w:p>
        </w:tc>
      </w:tr>
      <w:tr w:rsidR="00CE32B4" w14:paraId="36FD1501" w14:textId="77777777">
        <w:trPr>
          <w:jc w:val="center"/>
        </w:trPr>
        <w:tc>
          <w:tcPr>
            <w:tcW w:w="4025" w:type="dxa"/>
            <w:tcMar>
              <w:top w:w="110" w:type="dxa"/>
              <w:left w:w="120" w:type="dxa"/>
              <w:bottom w:w="110" w:type="dxa"/>
              <w:right w:w="120" w:type="dxa"/>
            </w:tcMar>
            <w:vAlign w:val="center"/>
          </w:tcPr>
          <w:p w14:paraId="24ACBF77" w14:textId="77777777" w:rsidR="00CE32B4" w:rsidRDefault="00000000">
            <w:pPr>
              <w:spacing w:after="0" w:line="252" w:lineRule="auto"/>
            </w:pPr>
            <w:r>
              <w:rPr>
                <w:sz w:val="18"/>
              </w:rPr>
              <w:t>Interlock opens access only after the moving part has reduced to MS1.</w:t>
            </w:r>
          </w:p>
        </w:tc>
        <w:tc>
          <w:tcPr>
            <w:tcW w:w="1814" w:type="dxa"/>
            <w:tcMar>
              <w:top w:w="110" w:type="dxa"/>
              <w:left w:w="120" w:type="dxa"/>
              <w:bottom w:w="110" w:type="dxa"/>
              <w:right w:w="120" w:type="dxa"/>
            </w:tcMar>
            <w:vAlign w:val="center"/>
          </w:tcPr>
          <w:p w14:paraId="123A087B" w14:textId="77777777" w:rsidR="00CE32B4" w:rsidRDefault="00000000">
            <w:pPr>
              <w:spacing w:after="0" w:line="252" w:lineRule="auto"/>
            </w:pPr>
            <w:r>
              <w:rPr>
                <w:sz w:val="18"/>
              </w:rPr>
              <w:t>PASS subject to Annex K</w:t>
            </w:r>
          </w:p>
        </w:tc>
        <w:tc>
          <w:tcPr>
            <w:tcW w:w="3628" w:type="dxa"/>
            <w:tcMar>
              <w:top w:w="110" w:type="dxa"/>
              <w:left w:w="120" w:type="dxa"/>
              <w:bottom w:w="110" w:type="dxa"/>
              <w:right w:w="120" w:type="dxa"/>
            </w:tcMar>
            <w:vAlign w:val="center"/>
          </w:tcPr>
          <w:p w14:paraId="57641EC3" w14:textId="77777777" w:rsidR="00CE32B4" w:rsidRDefault="00000000">
            <w:pPr>
              <w:spacing w:after="0" w:line="252" w:lineRule="auto"/>
            </w:pPr>
            <w:r>
              <w:rPr>
                <w:sz w:val="18"/>
              </w:rPr>
              <w:t>The interlock must meet Annex K and remain effective under relevant faults.</w:t>
            </w:r>
          </w:p>
        </w:tc>
      </w:tr>
      <w:tr w:rsidR="00CE32B4" w14:paraId="5327583B" w14:textId="77777777">
        <w:trPr>
          <w:jc w:val="center"/>
        </w:trPr>
        <w:tc>
          <w:tcPr>
            <w:tcW w:w="4025" w:type="dxa"/>
            <w:shd w:val="clear" w:color="auto" w:fill="F3F6F9"/>
            <w:tcMar>
              <w:top w:w="110" w:type="dxa"/>
              <w:left w:w="120" w:type="dxa"/>
              <w:bottom w:w="110" w:type="dxa"/>
              <w:right w:w="120" w:type="dxa"/>
            </w:tcMar>
            <w:vAlign w:val="center"/>
          </w:tcPr>
          <w:p w14:paraId="261B8C00" w14:textId="77777777" w:rsidR="00CE32B4" w:rsidRDefault="00000000">
            <w:pPr>
              <w:spacing w:after="0" w:line="252" w:lineRule="auto"/>
            </w:pPr>
            <w:r>
              <w:rPr>
                <w:sz w:val="18"/>
              </w:rPr>
              <w:t>Interlock allows the probe to reach the part while it remains MS2 or MS3 or during coast-down.</w:t>
            </w:r>
          </w:p>
        </w:tc>
        <w:tc>
          <w:tcPr>
            <w:tcW w:w="1814" w:type="dxa"/>
            <w:shd w:val="clear" w:color="auto" w:fill="F3F6F9"/>
            <w:tcMar>
              <w:top w:w="110" w:type="dxa"/>
              <w:left w:w="120" w:type="dxa"/>
              <w:bottom w:w="110" w:type="dxa"/>
              <w:right w:w="120" w:type="dxa"/>
            </w:tcMar>
            <w:vAlign w:val="center"/>
          </w:tcPr>
          <w:p w14:paraId="09D69E2A" w14:textId="77777777" w:rsidR="00CE32B4" w:rsidRDefault="00000000">
            <w:pPr>
              <w:spacing w:after="0" w:line="252" w:lineRule="auto"/>
            </w:pPr>
            <w:r>
              <w:rPr>
                <w:sz w:val="18"/>
              </w:rPr>
              <w:t>FAIL</w:t>
            </w:r>
          </w:p>
        </w:tc>
        <w:tc>
          <w:tcPr>
            <w:tcW w:w="3628" w:type="dxa"/>
            <w:shd w:val="clear" w:color="auto" w:fill="F3F6F9"/>
            <w:tcMar>
              <w:top w:w="110" w:type="dxa"/>
              <w:left w:w="120" w:type="dxa"/>
              <w:bottom w:w="110" w:type="dxa"/>
              <w:right w:w="120" w:type="dxa"/>
            </w:tcMar>
            <w:vAlign w:val="center"/>
          </w:tcPr>
          <w:p w14:paraId="097E73A6" w14:textId="77777777" w:rsidR="00CE32B4" w:rsidRDefault="00000000">
            <w:pPr>
              <w:spacing w:after="0" w:line="252" w:lineRule="auto"/>
            </w:pPr>
            <w:r>
              <w:rPr>
                <w:sz w:val="18"/>
              </w:rPr>
              <w:t>Movement has not reduced to MS1 before accessibility.</w:t>
            </w:r>
          </w:p>
        </w:tc>
      </w:tr>
      <w:tr w:rsidR="00CE32B4" w14:paraId="749F496E" w14:textId="77777777">
        <w:trPr>
          <w:jc w:val="center"/>
        </w:trPr>
        <w:tc>
          <w:tcPr>
            <w:tcW w:w="4025" w:type="dxa"/>
            <w:tcMar>
              <w:top w:w="110" w:type="dxa"/>
              <w:left w:w="120" w:type="dxa"/>
              <w:bottom w:w="110" w:type="dxa"/>
              <w:right w:w="120" w:type="dxa"/>
            </w:tcMar>
            <w:vAlign w:val="center"/>
          </w:tcPr>
          <w:p w14:paraId="2770C0BA" w14:textId="77777777" w:rsidR="00CE32B4" w:rsidRDefault="00000000">
            <w:pPr>
              <w:spacing w:after="0" w:line="252" w:lineRule="auto"/>
            </w:pPr>
            <w:r>
              <w:rPr>
                <w:sz w:val="18"/>
              </w:rPr>
              <w:t>Only a warning label is added while an ordinary person can still reach a non-essential MS2 or MS3 pinch point.</w:t>
            </w:r>
          </w:p>
        </w:tc>
        <w:tc>
          <w:tcPr>
            <w:tcW w:w="1814" w:type="dxa"/>
            <w:tcMar>
              <w:top w:w="110" w:type="dxa"/>
              <w:left w:w="120" w:type="dxa"/>
              <w:bottom w:w="110" w:type="dxa"/>
              <w:right w:w="120" w:type="dxa"/>
            </w:tcMar>
            <w:vAlign w:val="center"/>
          </w:tcPr>
          <w:p w14:paraId="2B9E6BA0" w14:textId="77777777" w:rsidR="00CE32B4" w:rsidRDefault="00000000">
            <w:pPr>
              <w:spacing w:after="0" w:line="252" w:lineRule="auto"/>
            </w:pPr>
            <w:r>
              <w:rPr>
                <w:sz w:val="18"/>
              </w:rPr>
              <w:t>FAIL</w:t>
            </w:r>
          </w:p>
        </w:tc>
        <w:tc>
          <w:tcPr>
            <w:tcW w:w="3628" w:type="dxa"/>
            <w:tcMar>
              <w:top w:w="110" w:type="dxa"/>
              <w:left w:w="120" w:type="dxa"/>
              <w:bottom w:w="110" w:type="dxa"/>
              <w:right w:w="120" w:type="dxa"/>
            </w:tcMar>
            <w:vAlign w:val="center"/>
          </w:tcPr>
          <w:p w14:paraId="77939A9C" w14:textId="77777777" w:rsidR="00CE32B4" w:rsidRDefault="00000000">
            <w:pPr>
              <w:spacing w:after="0" w:line="252" w:lineRule="auto"/>
            </w:pPr>
            <w:r>
              <w:rPr>
                <w:sz w:val="18"/>
              </w:rPr>
              <w:t>An instructional safeguard does not normally replace the required equipment safeguard.</w:t>
            </w:r>
          </w:p>
        </w:tc>
      </w:tr>
    </w:tbl>
    <w:p w14:paraId="1DD0FD6B" w14:textId="77777777" w:rsidR="00CE32B4" w:rsidRDefault="00000000">
      <w:pPr>
        <w:pStyle w:val="Heading2"/>
      </w:pPr>
      <w:r>
        <w:t>Limited functional exception</w:t>
      </w:r>
    </w:p>
    <w:p w14:paraId="7596C078" w14:textId="77777777" w:rsidR="00CE32B4" w:rsidRDefault="00000000">
      <w:r>
        <w:t>Clause 8.5 contains conditions for a moving MS2 or MS3 part that must remain accessible for the intended function. This is a narrow exception, not the normal route for an incidental hole. The exposure must not be life threatening, the movement must be obvious, guarding must be maximized, the prescribed instructional safeguard must be used and an accessible MS3 part requires the specified nearby stopping device. A certification body or competent safety engineer should review any reliance on this exception.</w:t>
      </w:r>
    </w:p>
    <w:p w14:paraId="3362AA30" w14:textId="77777777" w:rsidR="00CE32B4" w:rsidRDefault="00000000">
      <w:pPr>
        <w:pStyle w:val="Heading1"/>
      </w:pPr>
      <w:r>
        <w:lastRenderedPageBreak/>
        <w:t>Corrective actions following a failure</w:t>
      </w:r>
    </w:p>
    <w:p w14:paraId="6B27D12C" w14:textId="77777777" w:rsidR="00CE32B4" w:rsidRDefault="00000000">
      <w:r>
        <w:t>Where the test probe reaches an MS2 or MS3 pinch point, correct the construction and repeat the full assessment. Suitable design options include:</w:t>
      </w:r>
    </w:p>
    <w:p w14:paraId="719067BD" w14:textId="77777777" w:rsidR="00CE32B4" w:rsidRDefault="00000000">
      <w:pPr>
        <w:pStyle w:val="ListBullet"/>
      </w:pPr>
      <w:r>
        <w:t>Reduce the hole or change its geometry so that the applicable jointed and straight probes cannot reach the moving part.</w:t>
      </w:r>
    </w:p>
    <w:p w14:paraId="4BE8A715" w14:textId="77777777" w:rsidR="00CE32B4" w:rsidRDefault="00000000">
      <w:pPr>
        <w:pStyle w:val="ListBullet"/>
      </w:pPr>
      <w:r>
        <w:t>Add an internal finger guard, tunnel or baffle that remains secure and does not create another pinch or sharp-edge hazard.</w:t>
      </w:r>
    </w:p>
    <w:p w14:paraId="375EC059" w14:textId="77777777" w:rsidR="00CE32B4" w:rsidRDefault="00000000">
      <w:pPr>
        <w:pStyle w:val="ListBullet"/>
      </w:pPr>
      <w:r>
        <w:t>Increase the distance between the opening and the complete motion envelope.</w:t>
      </w:r>
    </w:p>
    <w:p w14:paraId="4905E981" w14:textId="77777777" w:rsidR="00CE32B4" w:rsidRDefault="00000000">
      <w:pPr>
        <w:pStyle w:val="ListBullet"/>
      </w:pPr>
      <w:r>
        <w:t>Reduce closing force, torque, speed or stored energy so the mechanism is demonstrably MS1 in normal, abnormal and relevant single fault conditions.</w:t>
      </w:r>
    </w:p>
    <w:p w14:paraId="02DBC52C" w14:textId="77777777" w:rsidR="00CE32B4" w:rsidRDefault="00000000">
      <w:pPr>
        <w:pStyle w:val="ListBullet"/>
      </w:pPr>
      <w:r>
        <w:t>Add a safety interlock complying with Annex K. The movement must reduce to MS1 before access is possible, including during coast-down.</w:t>
      </w:r>
    </w:p>
    <w:p w14:paraId="4427CB27" w14:textId="77777777" w:rsidR="00CE32B4" w:rsidRDefault="00000000">
      <w:pPr>
        <w:pStyle w:val="ListBullet"/>
      </w:pPr>
      <w:r>
        <w:t>Prevent unexpected restart and consider trapped-finger release where the mechanism can hold force after stopping.</w:t>
      </w:r>
    </w:p>
    <w:p w14:paraId="45A96A6A" w14:textId="77777777" w:rsidR="00CE32B4" w:rsidRDefault="00000000">
      <w:r>
        <w:t>After modification, repeat the Annex V tests in every direction and configuration. Also repeat any enclosure robustness, abnormal-operation, single-fault and interlock tests that could affect accessibility.</w:t>
      </w:r>
    </w:p>
    <w:p w14:paraId="0F644DC9" w14:textId="77777777" w:rsidR="00CE32B4" w:rsidRDefault="00000000">
      <w:pPr>
        <w:pStyle w:val="Heading2"/>
      </w:pPr>
      <w:r>
        <w:t>Recommended immediate action for the described hole</w:t>
      </w:r>
    </w:p>
    <w:p w14:paraId="1608D35E" w14:textId="77777777" w:rsidR="00CE32B4" w:rsidRDefault="00000000">
      <w:r>
        <w:t>Because a real finger can enter and the mechanism can pinch, stop treating the opening as inherently safe. Perform the applicable Figure V.1 or V.2 jointed-probe test first. If the probe reaches the pinch point, classify the mechanism. Unless it is supported as MS1, redesign the opening or add a guard or compliant interlock before declaring conformity.</w:t>
      </w:r>
    </w:p>
    <w:p w14:paraId="6BA16B3A" w14:textId="77777777" w:rsidR="00CE32B4" w:rsidRDefault="00000000">
      <w:r>
        <w:br w:type="page"/>
      </w:r>
    </w:p>
    <w:p w14:paraId="2A9B851C" w14:textId="77777777" w:rsidR="00CE32B4" w:rsidRDefault="00000000">
      <w:pPr>
        <w:pStyle w:val="Heading1"/>
      </w:pPr>
      <w:r>
        <w:lastRenderedPageBreak/>
        <w:t>Test record</w:t>
      </w:r>
    </w:p>
    <w:tbl>
      <w:tblPr>
        <w:tblW w:w="0" w:type="auto"/>
        <w:jc w:val="center"/>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Look w:val="04A0" w:firstRow="1" w:lastRow="0" w:firstColumn="1" w:lastColumn="0" w:noHBand="0" w:noVBand="1"/>
      </w:tblPr>
      <w:tblGrid>
        <w:gridCol w:w="4082"/>
        <w:gridCol w:w="5386"/>
      </w:tblGrid>
      <w:tr w:rsidR="00CE32B4" w14:paraId="56C1E289" w14:textId="77777777">
        <w:trPr>
          <w:tblHeader/>
          <w:jc w:val="center"/>
        </w:trPr>
        <w:tc>
          <w:tcPr>
            <w:tcW w:w="4082" w:type="dxa"/>
            <w:shd w:val="clear" w:color="auto" w:fill="17365D"/>
            <w:tcMar>
              <w:top w:w="110" w:type="dxa"/>
              <w:left w:w="120" w:type="dxa"/>
              <w:bottom w:w="110" w:type="dxa"/>
              <w:right w:w="120" w:type="dxa"/>
            </w:tcMar>
            <w:vAlign w:val="center"/>
          </w:tcPr>
          <w:p w14:paraId="2B4E5286" w14:textId="77777777" w:rsidR="00CE32B4" w:rsidRDefault="00000000">
            <w:pPr>
              <w:jc w:val="center"/>
            </w:pPr>
            <w:r>
              <w:rPr>
                <w:b/>
                <w:color w:val="FFFFFF"/>
                <w:sz w:val="18"/>
              </w:rPr>
              <w:t>Record field</w:t>
            </w:r>
          </w:p>
        </w:tc>
        <w:tc>
          <w:tcPr>
            <w:tcW w:w="5386" w:type="dxa"/>
            <w:shd w:val="clear" w:color="auto" w:fill="17365D"/>
            <w:tcMar>
              <w:top w:w="110" w:type="dxa"/>
              <w:left w:w="120" w:type="dxa"/>
              <w:bottom w:w="110" w:type="dxa"/>
              <w:right w:w="120" w:type="dxa"/>
            </w:tcMar>
            <w:vAlign w:val="center"/>
          </w:tcPr>
          <w:p w14:paraId="76C09FDD" w14:textId="77777777" w:rsidR="00CE32B4" w:rsidRDefault="00000000">
            <w:pPr>
              <w:jc w:val="center"/>
            </w:pPr>
            <w:r>
              <w:rPr>
                <w:b/>
                <w:color w:val="FFFFFF"/>
                <w:sz w:val="18"/>
              </w:rPr>
              <w:t>Entry</w:t>
            </w:r>
          </w:p>
        </w:tc>
      </w:tr>
      <w:tr w:rsidR="00CE32B4" w14:paraId="529A17C5" w14:textId="77777777">
        <w:trPr>
          <w:jc w:val="center"/>
        </w:trPr>
        <w:tc>
          <w:tcPr>
            <w:tcW w:w="4082" w:type="dxa"/>
            <w:tcMar>
              <w:top w:w="110" w:type="dxa"/>
              <w:left w:w="120" w:type="dxa"/>
              <w:bottom w:w="110" w:type="dxa"/>
              <w:right w:w="120" w:type="dxa"/>
            </w:tcMar>
            <w:vAlign w:val="center"/>
          </w:tcPr>
          <w:p w14:paraId="671C8858" w14:textId="77777777" w:rsidR="00CE32B4" w:rsidRDefault="00000000">
            <w:pPr>
              <w:spacing w:after="0" w:line="252" w:lineRule="auto"/>
            </w:pPr>
            <w:r>
              <w:rPr>
                <w:sz w:val="18"/>
              </w:rPr>
              <w:t>Product and model</w:t>
            </w:r>
          </w:p>
        </w:tc>
        <w:tc>
          <w:tcPr>
            <w:tcW w:w="5386" w:type="dxa"/>
            <w:tcMar>
              <w:top w:w="110" w:type="dxa"/>
              <w:left w:w="120" w:type="dxa"/>
              <w:bottom w:w="110" w:type="dxa"/>
              <w:right w:w="120" w:type="dxa"/>
            </w:tcMar>
            <w:vAlign w:val="center"/>
          </w:tcPr>
          <w:p w14:paraId="4CA78B5C" w14:textId="77777777" w:rsidR="00CE32B4" w:rsidRDefault="00CE32B4">
            <w:pPr>
              <w:spacing w:after="0" w:line="252" w:lineRule="auto"/>
            </w:pPr>
          </w:p>
        </w:tc>
      </w:tr>
      <w:tr w:rsidR="00CE32B4" w14:paraId="71716298" w14:textId="77777777">
        <w:trPr>
          <w:jc w:val="center"/>
        </w:trPr>
        <w:tc>
          <w:tcPr>
            <w:tcW w:w="4082" w:type="dxa"/>
            <w:shd w:val="clear" w:color="auto" w:fill="F3F6F9"/>
            <w:tcMar>
              <w:top w:w="110" w:type="dxa"/>
              <w:left w:w="120" w:type="dxa"/>
              <w:bottom w:w="110" w:type="dxa"/>
              <w:right w:w="120" w:type="dxa"/>
            </w:tcMar>
            <w:vAlign w:val="center"/>
          </w:tcPr>
          <w:p w14:paraId="7C8EC81D" w14:textId="77777777" w:rsidR="00CE32B4" w:rsidRDefault="00000000">
            <w:pPr>
              <w:spacing w:after="0" w:line="252" w:lineRule="auto"/>
            </w:pPr>
            <w:r>
              <w:rPr>
                <w:sz w:val="18"/>
              </w:rPr>
              <w:t>Sample serial number</w:t>
            </w:r>
          </w:p>
        </w:tc>
        <w:tc>
          <w:tcPr>
            <w:tcW w:w="5386" w:type="dxa"/>
            <w:shd w:val="clear" w:color="auto" w:fill="F3F6F9"/>
            <w:tcMar>
              <w:top w:w="110" w:type="dxa"/>
              <w:left w:w="120" w:type="dxa"/>
              <w:bottom w:w="110" w:type="dxa"/>
              <w:right w:w="120" w:type="dxa"/>
            </w:tcMar>
            <w:vAlign w:val="center"/>
          </w:tcPr>
          <w:p w14:paraId="0CA001CA" w14:textId="77777777" w:rsidR="00CE32B4" w:rsidRDefault="00CE32B4">
            <w:pPr>
              <w:spacing w:after="0" w:line="252" w:lineRule="auto"/>
            </w:pPr>
          </w:p>
        </w:tc>
      </w:tr>
      <w:tr w:rsidR="00CE32B4" w14:paraId="5D790B5E" w14:textId="77777777">
        <w:trPr>
          <w:jc w:val="center"/>
        </w:trPr>
        <w:tc>
          <w:tcPr>
            <w:tcW w:w="4082" w:type="dxa"/>
            <w:tcMar>
              <w:top w:w="110" w:type="dxa"/>
              <w:left w:w="120" w:type="dxa"/>
              <w:bottom w:w="110" w:type="dxa"/>
              <w:right w:w="120" w:type="dxa"/>
            </w:tcMar>
            <w:vAlign w:val="center"/>
          </w:tcPr>
          <w:p w14:paraId="25E0549C" w14:textId="77777777" w:rsidR="00CE32B4" w:rsidRDefault="00000000">
            <w:pPr>
              <w:spacing w:after="0" w:line="252" w:lineRule="auto"/>
            </w:pPr>
            <w:r>
              <w:rPr>
                <w:sz w:val="18"/>
              </w:rPr>
              <w:t>Drawing and opening reference</w:t>
            </w:r>
          </w:p>
        </w:tc>
        <w:tc>
          <w:tcPr>
            <w:tcW w:w="5386" w:type="dxa"/>
            <w:tcMar>
              <w:top w:w="110" w:type="dxa"/>
              <w:left w:w="120" w:type="dxa"/>
              <w:bottom w:w="110" w:type="dxa"/>
              <w:right w:w="120" w:type="dxa"/>
            </w:tcMar>
            <w:vAlign w:val="center"/>
          </w:tcPr>
          <w:p w14:paraId="2A1AB406" w14:textId="77777777" w:rsidR="00CE32B4" w:rsidRDefault="00CE32B4">
            <w:pPr>
              <w:spacing w:after="0" w:line="252" w:lineRule="auto"/>
            </w:pPr>
          </w:p>
        </w:tc>
      </w:tr>
      <w:tr w:rsidR="00CE32B4" w14:paraId="7CBAC4FC" w14:textId="77777777">
        <w:trPr>
          <w:jc w:val="center"/>
        </w:trPr>
        <w:tc>
          <w:tcPr>
            <w:tcW w:w="4082" w:type="dxa"/>
            <w:shd w:val="clear" w:color="auto" w:fill="F3F6F9"/>
            <w:tcMar>
              <w:top w:w="110" w:type="dxa"/>
              <w:left w:w="120" w:type="dxa"/>
              <w:bottom w:w="110" w:type="dxa"/>
              <w:right w:w="120" w:type="dxa"/>
            </w:tcMar>
            <w:vAlign w:val="center"/>
          </w:tcPr>
          <w:p w14:paraId="07B5F00A" w14:textId="77777777" w:rsidR="00CE32B4" w:rsidRDefault="00000000">
            <w:pPr>
              <w:spacing w:after="0" w:line="252" w:lineRule="auto"/>
            </w:pPr>
            <w:r>
              <w:rPr>
                <w:sz w:val="18"/>
              </w:rPr>
              <w:t>Test date</w:t>
            </w:r>
          </w:p>
        </w:tc>
        <w:tc>
          <w:tcPr>
            <w:tcW w:w="5386" w:type="dxa"/>
            <w:shd w:val="clear" w:color="auto" w:fill="F3F6F9"/>
            <w:tcMar>
              <w:top w:w="110" w:type="dxa"/>
              <w:left w:w="120" w:type="dxa"/>
              <w:bottom w:w="110" w:type="dxa"/>
              <w:right w:w="120" w:type="dxa"/>
            </w:tcMar>
            <w:vAlign w:val="center"/>
          </w:tcPr>
          <w:p w14:paraId="69C66FC5" w14:textId="77777777" w:rsidR="00CE32B4" w:rsidRDefault="00CE32B4">
            <w:pPr>
              <w:spacing w:after="0" w:line="252" w:lineRule="auto"/>
            </w:pPr>
          </w:p>
        </w:tc>
      </w:tr>
      <w:tr w:rsidR="00CE32B4" w14:paraId="3EDF69A9" w14:textId="77777777">
        <w:trPr>
          <w:jc w:val="center"/>
        </w:trPr>
        <w:tc>
          <w:tcPr>
            <w:tcW w:w="4082" w:type="dxa"/>
            <w:tcMar>
              <w:top w:w="110" w:type="dxa"/>
              <w:left w:w="120" w:type="dxa"/>
              <w:bottom w:w="110" w:type="dxa"/>
              <w:right w:w="120" w:type="dxa"/>
            </w:tcMar>
            <w:vAlign w:val="center"/>
          </w:tcPr>
          <w:p w14:paraId="2423F162" w14:textId="77777777" w:rsidR="00CE32B4" w:rsidRDefault="00000000">
            <w:pPr>
              <w:spacing w:after="0" w:line="252" w:lineRule="auto"/>
            </w:pPr>
            <w:r>
              <w:rPr>
                <w:sz w:val="18"/>
              </w:rPr>
              <w:t>Tester</w:t>
            </w:r>
          </w:p>
        </w:tc>
        <w:tc>
          <w:tcPr>
            <w:tcW w:w="5386" w:type="dxa"/>
            <w:tcMar>
              <w:top w:w="110" w:type="dxa"/>
              <w:left w:w="120" w:type="dxa"/>
              <w:bottom w:w="110" w:type="dxa"/>
              <w:right w:w="120" w:type="dxa"/>
            </w:tcMar>
            <w:vAlign w:val="center"/>
          </w:tcPr>
          <w:p w14:paraId="11EFFD91" w14:textId="77777777" w:rsidR="00CE32B4" w:rsidRDefault="00CE32B4">
            <w:pPr>
              <w:spacing w:after="0" w:line="252" w:lineRule="auto"/>
            </w:pPr>
          </w:p>
        </w:tc>
      </w:tr>
      <w:tr w:rsidR="00CE32B4" w14:paraId="6466C971" w14:textId="77777777">
        <w:trPr>
          <w:jc w:val="center"/>
        </w:trPr>
        <w:tc>
          <w:tcPr>
            <w:tcW w:w="4082" w:type="dxa"/>
            <w:shd w:val="clear" w:color="auto" w:fill="F3F6F9"/>
            <w:tcMar>
              <w:top w:w="110" w:type="dxa"/>
              <w:left w:w="120" w:type="dxa"/>
              <w:bottom w:w="110" w:type="dxa"/>
              <w:right w:w="120" w:type="dxa"/>
            </w:tcMar>
            <w:vAlign w:val="center"/>
          </w:tcPr>
          <w:p w14:paraId="1BE544E6" w14:textId="77777777" w:rsidR="00CE32B4" w:rsidRDefault="00000000">
            <w:pPr>
              <w:spacing w:after="0" w:line="252" w:lineRule="auto"/>
            </w:pPr>
            <w:r>
              <w:rPr>
                <w:sz w:val="18"/>
              </w:rPr>
              <w:t>Intended installation</w:t>
            </w:r>
          </w:p>
        </w:tc>
        <w:tc>
          <w:tcPr>
            <w:tcW w:w="5386" w:type="dxa"/>
            <w:shd w:val="clear" w:color="auto" w:fill="F3F6F9"/>
            <w:tcMar>
              <w:top w:w="110" w:type="dxa"/>
              <w:left w:w="120" w:type="dxa"/>
              <w:bottom w:w="110" w:type="dxa"/>
              <w:right w:w="120" w:type="dxa"/>
            </w:tcMar>
            <w:vAlign w:val="center"/>
          </w:tcPr>
          <w:p w14:paraId="4590F07D" w14:textId="77777777" w:rsidR="00CE32B4" w:rsidRDefault="00CE32B4">
            <w:pPr>
              <w:spacing w:after="0" w:line="252" w:lineRule="auto"/>
            </w:pPr>
          </w:p>
        </w:tc>
      </w:tr>
      <w:tr w:rsidR="00CE32B4" w14:paraId="62BAA134" w14:textId="77777777">
        <w:trPr>
          <w:jc w:val="center"/>
        </w:trPr>
        <w:tc>
          <w:tcPr>
            <w:tcW w:w="4082" w:type="dxa"/>
            <w:tcMar>
              <w:top w:w="110" w:type="dxa"/>
              <w:left w:w="120" w:type="dxa"/>
              <w:bottom w:w="110" w:type="dxa"/>
              <w:right w:w="120" w:type="dxa"/>
            </w:tcMar>
            <w:vAlign w:val="center"/>
          </w:tcPr>
          <w:p w14:paraId="564AF2AE" w14:textId="77777777" w:rsidR="00CE32B4" w:rsidRDefault="00000000">
            <w:pPr>
              <w:spacing w:after="0" w:line="252" w:lineRule="auto"/>
            </w:pPr>
            <w:r>
              <w:rPr>
                <w:sz w:val="18"/>
              </w:rPr>
              <w:t>Children likely to have access</w:t>
            </w:r>
          </w:p>
        </w:tc>
        <w:tc>
          <w:tcPr>
            <w:tcW w:w="5386" w:type="dxa"/>
            <w:tcMar>
              <w:top w:w="110" w:type="dxa"/>
              <w:left w:w="120" w:type="dxa"/>
              <w:bottom w:w="110" w:type="dxa"/>
              <w:right w:w="120" w:type="dxa"/>
            </w:tcMar>
            <w:vAlign w:val="center"/>
          </w:tcPr>
          <w:p w14:paraId="144CD601" w14:textId="77777777" w:rsidR="00CE32B4" w:rsidRDefault="00000000">
            <w:pPr>
              <w:spacing w:after="0" w:line="252" w:lineRule="auto"/>
            </w:pPr>
            <w:r>
              <w:rPr>
                <w:sz w:val="18"/>
              </w:rPr>
              <w:t>Yes / No / Uncertain</w:t>
            </w:r>
          </w:p>
        </w:tc>
      </w:tr>
      <w:tr w:rsidR="00CE32B4" w14:paraId="60EA5425" w14:textId="77777777">
        <w:trPr>
          <w:jc w:val="center"/>
        </w:trPr>
        <w:tc>
          <w:tcPr>
            <w:tcW w:w="4082" w:type="dxa"/>
            <w:shd w:val="clear" w:color="auto" w:fill="F3F6F9"/>
            <w:tcMar>
              <w:top w:w="110" w:type="dxa"/>
              <w:left w:w="120" w:type="dxa"/>
              <w:bottom w:w="110" w:type="dxa"/>
              <w:right w:w="120" w:type="dxa"/>
            </w:tcMar>
            <w:vAlign w:val="center"/>
          </w:tcPr>
          <w:p w14:paraId="2CC7349D" w14:textId="77777777" w:rsidR="00CE32B4" w:rsidRDefault="00000000">
            <w:pPr>
              <w:spacing w:after="0" w:line="252" w:lineRule="auto"/>
            </w:pPr>
            <w:r>
              <w:rPr>
                <w:sz w:val="18"/>
              </w:rPr>
              <w:t>Selected probe</w:t>
            </w:r>
          </w:p>
        </w:tc>
        <w:tc>
          <w:tcPr>
            <w:tcW w:w="5386" w:type="dxa"/>
            <w:shd w:val="clear" w:color="auto" w:fill="F3F6F9"/>
            <w:tcMar>
              <w:top w:w="110" w:type="dxa"/>
              <w:left w:w="120" w:type="dxa"/>
              <w:bottom w:w="110" w:type="dxa"/>
              <w:right w:w="120" w:type="dxa"/>
            </w:tcMar>
            <w:vAlign w:val="center"/>
          </w:tcPr>
          <w:p w14:paraId="713A3403" w14:textId="77777777" w:rsidR="00CE32B4" w:rsidRDefault="00000000">
            <w:pPr>
              <w:spacing w:after="0" w:line="252" w:lineRule="auto"/>
            </w:pPr>
            <w:r>
              <w:rPr>
                <w:sz w:val="18"/>
              </w:rPr>
              <w:t>Figure V.1 / Figure V.2</w:t>
            </w:r>
          </w:p>
        </w:tc>
      </w:tr>
      <w:tr w:rsidR="00CE32B4" w14:paraId="2985C971" w14:textId="77777777">
        <w:trPr>
          <w:jc w:val="center"/>
        </w:trPr>
        <w:tc>
          <w:tcPr>
            <w:tcW w:w="4082" w:type="dxa"/>
            <w:tcMar>
              <w:top w:w="110" w:type="dxa"/>
              <w:left w:w="120" w:type="dxa"/>
              <w:bottom w:w="110" w:type="dxa"/>
              <w:right w:w="120" w:type="dxa"/>
            </w:tcMar>
            <w:vAlign w:val="center"/>
          </w:tcPr>
          <w:p w14:paraId="18AAEF6D" w14:textId="77777777" w:rsidR="00CE32B4" w:rsidRDefault="00000000">
            <w:pPr>
              <w:spacing w:after="0" w:line="252" w:lineRule="auto"/>
            </w:pPr>
            <w:r>
              <w:rPr>
                <w:sz w:val="18"/>
              </w:rPr>
              <w:t>Probe identification and calibration</w:t>
            </w:r>
          </w:p>
        </w:tc>
        <w:tc>
          <w:tcPr>
            <w:tcW w:w="5386" w:type="dxa"/>
            <w:tcMar>
              <w:top w:w="110" w:type="dxa"/>
              <w:left w:w="120" w:type="dxa"/>
              <w:bottom w:w="110" w:type="dxa"/>
              <w:right w:w="120" w:type="dxa"/>
            </w:tcMar>
            <w:vAlign w:val="center"/>
          </w:tcPr>
          <w:p w14:paraId="70AFF639" w14:textId="77777777" w:rsidR="00CE32B4" w:rsidRDefault="00CE32B4">
            <w:pPr>
              <w:spacing w:after="0" w:line="252" w:lineRule="auto"/>
            </w:pPr>
          </w:p>
        </w:tc>
      </w:tr>
      <w:tr w:rsidR="00CE32B4" w14:paraId="2CDEA4E2" w14:textId="77777777">
        <w:trPr>
          <w:jc w:val="center"/>
        </w:trPr>
        <w:tc>
          <w:tcPr>
            <w:tcW w:w="4082" w:type="dxa"/>
            <w:shd w:val="clear" w:color="auto" w:fill="F3F6F9"/>
            <w:tcMar>
              <w:top w:w="110" w:type="dxa"/>
              <w:left w:w="120" w:type="dxa"/>
              <w:bottom w:w="110" w:type="dxa"/>
              <w:right w:w="120" w:type="dxa"/>
            </w:tcMar>
            <w:vAlign w:val="center"/>
          </w:tcPr>
          <w:p w14:paraId="0C8DBAB6" w14:textId="77777777" w:rsidR="00CE32B4" w:rsidRDefault="00000000">
            <w:pPr>
              <w:spacing w:after="0" w:line="252" w:lineRule="auto"/>
            </w:pPr>
            <w:r>
              <w:rPr>
                <w:sz w:val="18"/>
              </w:rPr>
              <w:t>Opening dimensions</w:t>
            </w:r>
          </w:p>
        </w:tc>
        <w:tc>
          <w:tcPr>
            <w:tcW w:w="5386" w:type="dxa"/>
            <w:shd w:val="clear" w:color="auto" w:fill="F3F6F9"/>
            <w:tcMar>
              <w:top w:w="110" w:type="dxa"/>
              <w:left w:w="120" w:type="dxa"/>
              <w:bottom w:w="110" w:type="dxa"/>
              <w:right w:w="120" w:type="dxa"/>
            </w:tcMar>
            <w:vAlign w:val="center"/>
          </w:tcPr>
          <w:p w14:paraId="3440969C" w14:textId="77777777" w:rsidR="00CE32B4" w:rsidRDefault="00CE32B4">
            <w:pPr>
              <w:spacing w:after="0" w:line="252" w:lineRule="auto"/>
            </w:pPr>
          </w:p>
        </w:tc>
      </w:tr>
      <w:tr w:rsidR="00CE32B4" w14:paraId="0E8C191D" w14:textId="77777777">
        <w:trPr>
          <w:jc w:val="center"/>
        </w:trPr>
        <w:tc>
          <w:tcPr>
            <w:tcW w:w="4082" w:type="dxa"/>
            <w:tcMar>
              <w:top w:w="110" w:type="dxa"/>
              <w:left w:w="120" w:type="dxa"/>
              <w:bottom w:w="110" w:type="dxa"/>
              <w:right w:w="120" w:type="dxa"/>
            </w:tcMar>
            <w:vAlign w:val="center"/>
          </w:tcPr>
          <w:p w14:paraId="74682D24" w14:textId="77777777" w:rsidR="00CE32B4" w:rsidRDefault="00000000">
            <w:pPr>
              <w:spacing w:after="0" w:line="252" w:lineRule="auto"/>
            </w:pPr>
            <w:r>
              <w:rPr>
                <w:sz w:val="18"/>
              </w:rPr>
              <w:t>Distance to moving part</w:t>
            </w:r>
          </w:p>
        </w:tc>
        <w:tc>
          <w:tcPr>
            <w:tcW w:w="5386" w:type="dxa"/>
            <w:tcMar>
              <w:top w:w="110" w:type="dxa"/>
              <w:left w:w="120" w:type="dxa"/>
              <w:bottom w:w="110" w:type="dxa"/>
              <w:right w:w="120" w:type="dxa"/>
            </w:tcMar>
            <w:vAlign w:val="center"/>
          </w:tcPr>
          <w:p w14:paraId="5B98C360" w14:textId="77777777" w:rsidR="00CE32B4" w:rsidRDefault="00CE32B4">
            <w:pPr>
              <w:spacing w:after="0" w:line="252" w:lineRule="auto"/>
            </w:pPr>
          </w:p>
        </w:tc>
      </w:tr>
      <w:tr w:rsidR="00CE32B4" w14:paraId="4F9C24C6" w14:textId="77777777">
        <w:trPr>
          <w:jc w:val="center"/>
        </w:trPr>
        <w:tc>
          <w:tcPr>
            <w:tcW w:w="4082" w:type="dxa"/>
            <w:shd w:val="clear" w:color="auto" w:fill="F3F6F9"/>
            <w:tcMar>
              <w:top w:w="110" w:type="dxa"/>
              <w:left w:w="120" w:type="dxa"/>
              <w:bottom w:w="110" w:type="dxa"/>
              <w:right w:w="120" w:type="dxa"/>
            </w:tcMar>
            <w:vAlign w:val="center"/>
          </w:tcPr>
          <w:p w14:paraId="2FAC1BD8" w14:textId="77777777" w:rsidR="00CE32B4" w:rsidRDefault="00000000">
            <w:pPr>
              <w:spacing w:after="0" w:line="252" w:lineRule="auto"/>
            </w:pPr>
            <w:r>
              <w:rPr>
                <w:sz w:val="18"/>
              </w:rPr>
              <w:t>Mechanism and motion description</w:t>
            </w:r>
          </w:p>
        </w:tc>
        <w:tc>
          <w:tcPr>
            <w:tcW w:w="5386" w:type="dxa"/>
            <w:shd w:val="clear" w:color="auto" w:fill="F3F6F9"/>
            <w:tcMar>
              <w:top w:w="110" w:type="dxa"/>
              <w:left w:w="120" w:type="dxa"/>
              <w:bottom w:w="110" w:type="dxa"/>
              <w:right w:w="120" w:type="dxa"/>
            </w:tcMar>
            <w:vAlign w:val="center"/>
          </w:tcPr>
          <w:p w14:paraId="78B4EAAF" w14:textId="77777777" w:rsidR="00CE32B4" w:rsidRDefault="00CE32B4">
            <w:pPr>
              <w:spacing w:after="0" w:line="252" w:lineRule="auto"/>
            </w:pPr>
          </w:p>
        </w:tc>
      </w:tr>
      <w:tr w:rsidR="00CE32B4" w14:paraId="176EB03E" w14:textId="77777777">
        <w:trPr>
          <w:jc w:val="center"/>
        </w:trPr>
        <w:tc>
          <w:tcPr>
            <w:tcW w:w="4082" w:type="dxa"/>
            <w:tcMar>
              <w:top w:w="110" w:type="dxa"/>
              <w:left w:w="120" w:type="dxa"/>
              <w:bottom w:w="110" w:type="dxa"/>
              <w:right w:w="120" w:type="dxa"/>
            </w:tcMar>
            <w:vAlign w:val="center"/>
          </w:tcPr>
          <w:p w14:paraId="343B9AAB" w14:textId="77777777" w:rsidR="00CE32B4" w:rsidRDefault="00000000">
            <w:pPr>
              <w:spacing w:after="0" w:line="252" w:lineRule="auto"/>
            </w:pPr>
            <w:r>
              <w:rPr>
                <w:sz w:val="18"/>
              </w:rPr>
              <w:t>Operating conditions assessed</w:t>
            </w:r>
          </w:p>
        </w:tc>
        <w:tc>
          <w:tcPr>
            <w:tcW w:w="5386" w:type="dxa"/>
            <w:tcMar>
              <w:top w:w="110" w:type="dxa"/>
              <w:left w:w="120" w:type="dxa"/>
              <w:bottom w:w="110" w:type="dxa"/>
              <w:right w:w="120" w:type="dxa"/>
            </w:tcMar>
            <w:vAlign w:val="center"/>
          </w:tcPr>
          <w:p w14:paraId="6DA96AAF" w14:textId="77777777" w:rsidR="00CE32B4" w:rsidRDefault="00000000">
            <w:pPr>
              <w:spacing w:after="0" w:line="252" w:lineRule="auto"/>
            </w:pPr>
            <w:r>
              <w:rPr>
                <w:sz w:val="18"/>
              </w:rPr>
              <w:t>Normal / Abnormal / Single fault</w:t>
            </w:r>
          </w:p>
        </w:tc>
      </w:tr>
      <w:tr w:rsidR="00CE32B4" w14:paraId="596D8926" w14:textId="77777777">
        <w:trPr>
          <w:jc w:val="center"/>
        </w:trPr>
        <w:tc>
          <w:tcPr>
            <w:tcW w:w="4082" w:type="dxa"/>
            <w:shd w:val="clear" w:color="auto" w:fill="F3F6F9"/>
            <w:tcMar>
              <w:top w:w="110" w:type="dxa"/>
              <w:left w:w="120" w:type="dxa"/>
              <w:bottom w:w="110" w:type="dxa"/>
              <w:right w:w="120" w:type="dxa"/>
            </w:tcMar>
            <w:vAlign w:val="center"/>
          </w:tcPr>
          <w:p w14:paraId="0C6BE6F6" w14:textId="77777777" w:rsidR="00CE32B4" w:rsidRDefault="00000000">
            <w:pPr>
              <w:spacing w:after="0" w:line="252" w:lineRule="auto"/>
            </w:pPr>
            <w:r>
              <w:rPr>
                <w:sz w:val="18"/>
              </w:rPr>
              <w:t>Mechanical classification</w:t>
            </w:r>
          </w:p>
        </w:tc>
        <w:tc>
          <w:tcPr>
            <w:tcW w:w="5386" w:type="dxa"/>
            <w:shd w:val="clear" w:color="auto" w:fill="F3F6F9"/>
            <w:tcMar>
              <w:top w:w="110" w:type="dxa"/>
              <w:left w:w="120" w:type="dxa"/>
              <w:bottom w:w="110" w:type="dxa"/>
              <w:right w:w="120" w:type="dxa"/>
            </w:tcMar>
            <w:vAlign w:val="center"/>
          </w:tcPr>
          <w:p w14:paraId="228813D5" w14:textId="77777777" w:rsidR="00CE32B4" w:rsidRDefault="00000000">
            <w:pPr>
              <w:spacing w:after="0" w:line="252" w:lineRule="auto"/>
            </w:pPr>
            <w:r>
              <w:rPr>
                <w:sz w:val="18"/>
              </w:rPr>
              <w:t>MS1 / MS2 / MS3</w:t>
            </w:r>
          </w:p>
        </w:tc>
      </w:tr>
      <w:tr w:rsidR="00CE32B4" w14:paraId="4E82B9CC" w14:textId="77777777">
        <w:trPr>
          <w:jc w:val="center"/>
        </w:trPr>
        <w:tc>
          <w:tcPr>
            <w:tcW w:w="4082" w:type="dxa"/>
            <w:tcMar>
              <w:top w:w="110" w:type="dxa"/>
              <w:left w:w="120" w:type="dxa"/>
              <w:bottom w:w="110" w:type="dxa"/>
              <w:right w:w="120" w:type="dxa"/>
            </w:tcMar>
            <w:vAlign w:val="center"/>
          </w:tcPr>
          <w:p w14:paraId="5A336E8A" w14:textId="77777777" w:rsidR="00CE32B4" w:rsidRDefault="00000000">
            <w:pPr>
              <w:spacing w:after="0" w:line="252" w:lineRule="auto"/>
            </w:pPr>
            <w:r>
              <w:rPr>
                <w:sz w:val="18"/>
              </w:rPr>
              <w:t>Classification evidence reference</w:t>
            </w:r>
          </w:p>
        </w:tc>
        <w:tc>
          <w:tcPr>
            <w:tcW w:w="5386" w:type="dxa"/>
            <w:tcMar>
              <w:top w:w="110" w:type="dxa"/>
              <w:left w:w="120" w:type="dxa"/>
              <w:bottom w:w="110" w:type="dxa"/>
              <w:right w:w="120" w:type="dxa"/>
            </w:tcMar>
            <w:vAlign w:val="center"/>
          </w:tcPr>
          <w:p w14:paraId="02248804" w14:textId="77777777" w:rsidR="00CE32B4" w:rsidRDefault="00CE32B4">
            <w:pPr>
              <w:spacing w:after="0" w:line="252" w:lineRule="auto"/>
            </w:pPr>
          </w:p>
        </w:tc>
      </w:tr>
      <w:tr w:rsidR="00CE32B4" w14:paraId="1E1189BA" w14:textId="77777777">
        <w:trPr>
          <w:jc w:val="center"/>
        </w:trPr>
        <w:tc>
          <w:tcPr>
            <w:tcW w:w="4082" w:type="dxa"/>
            <w:shd w:val="clear" w:color="auto" w:fill="F3F6F9"/>
            <w:tcMar>
              <w:top w:w="110" w:type="dxa"/>
              <w:left w:w="120" w:type="dxa"/>
              <w:bottom w:w="110" w:type="dxa"/>
              <w:right w:w="120" w:type="dxa"/>
            </w:tcMar>
            <w:vAlign w:val="center"/>
          </w:tcPr>
          <w:p w14:paraId="081EB7BC" w14:textId="77777777" w:rsidR="00CE32B4" w:rsidRDefault="00000000">
            <w:pPr>
              <w:spacing w:after="0" w:line="252" w:lineRule="auto"/>
            </w:pPr>
            <w:r>
              <w:rPr>
                <w:sz w:val="18"/>
              </w:rPr>
              <w:t>Jointed probe contact</w:t>
            </w:r>
          </w:p>
        </w:tc>
        <w:tc>
          <w:tcPr>
            <w:tcW w:w="5386" w:type="dxa"/>
            <w:shd w:val="clear" w:color="auto" w:fill="F3F6F9"/>
            <w:tcMar>
              <w:top w:w="110" w:type="dxa"/>
              <w:left w:w="120" w:type="dxa"/>
              <w:bottom w:w="110" w:type="dxa"/>
              <w:right w:w="120" w:type="dxa"/>
            </w:tcMar>
            <w:vAlign w:val="center"/>
          </w:tcPr>
          <w:p w14:paraId="1D7B4BA4" w14:textId="77777777" w:rsidR="00CE32B4" w:rsidRDefault="00000000">
            <w:pPr>
              <w:spacing w:after="0" w:line="252" w:lineRule="auto"/>
            </w:pPr>
            <w:r>
              <w:rPr>
                <w:sz w:val="18"/>
              </w:rPr>
              <w:t>Yes / No</w:t>
            </w:r>
          </w:p>
        </w:tc>
      </w:tr>
      <w:tr w:rsidR="00CE32B4" w14:paraId="646523CF" w14:textId="77777777">
        <w:trPr>
          <w:jc w:val="center"/>
        </w:trPr>
        <w:tc>
          <w:tcPr>
            <w:tcW w:w="4082" w:type="dxa"/>
            <w:tcMar>
              <w:top w:w="110" w:type="dxa"/>
              <w:left w:w="120" w:type="dxa"/>
              <w:bottom w:w="110" w:type="dxa"/>
              <w:right w:w="120" w:type="dxa"/>
            </w:tcMar>
            <w:vAlign w:val="center"/>
          </w:tcPr>
          <w:p w14:paraId="21DD726C" w14:textId="77777777" w:rsidR="00CE32B4" w:rsidRDefault="00000000">
            <w:pPr>
              <w:spacing w:after="0" w:line="252" w:lineRule="auto"/>
            </w:pPr>
            <w:r>
              <w:rPr>
                <w:sz w:val="18"/>
              </w:rPr>
              <w:t>Straight probe at up to 30 N required</w:t>
            </w:r>
          </w:p>
        </w:tc>
        <w:tc>
          <w:tcPr>
            <w:tcW w:w="5386" w:type="dxa"/>
            <w:tcMar>
              <w:top w:w="110" w:type="dxa"/>
              <w:left w:w="120" w:type="dxa"/>
              <w:bottom w:w="110" w:type="dxa"/>
              <w:right w:w="120" w:type="dxa"/>
            </w:tcMar>
            <w:vAlign w:val="center"/>
          </w:tcPr>
          <w:p w14:paraId="477B6882" w14:textId="77777777" w:rsidR="00CE32B4" w:rsidRDefault="00000000">
            <w:pPr>
              <w:spacing w:after="0" w:line="252" w:lineRule="auto"/>
            </w:pPr>
            <w:r>
              <w:rPr>
                <w:sz w:val="18"/>
              </w:rPr>
              <w:t>Yes / No</w:t>
            </w:r>
          </w:p>
        </w:tc>
      </w:tr>
      <w:tr w:rsidR="00CE32B4" w14:paraId="34B3472F" w14:textId="77777777">
        <w:trPr>
          <w:jc w:val="center"/>
        </w:trPr>
        <w:tc>
          <w:tcPr>
            <w:tcW w:w="4082" w:type="dxa"/>
            <w:shd w:val="clear" w:color="auto" w:fill="F3F6F9"/>
            <w:tcMar>
              <w:top w:w="110" w:type="dxa"/>
              <w:left w:w="120" w:type="dxa"/>
              <w:bottom w:w="110" w:type="dxa"/>
              <w:right w:w="120" w:type="dxa"/>
            </w:tcMar>
            <w:vAlign w:val="center"/>
          </w:tcPr>
          <w:p w14:paraId="171B9B36" w14:textId="77777777" w:rsidR="00CE32B4" w:rsidRDefault="00000000">
            <w:pPr>
              <w:spacing w:after="0" w:line="252" w:lineRule="auto"/>
            </w:pPr>
            <w:r>
              <w:rPr>
                <w:sz w:val="18"/>
              </w:rPr>
              <w:t>Straight probe entered</w:t>
            </w:r>
          </w:p>
        </w:tc>
        <w:tc>
          <w:tcPr>
            <w:tcW w:w="5386" w:type="dxa"/>
            <w:shd w:val="clear" w:color="auto" w:fill="F3F6F9"/>
            <w:tcMar>
              <w:top w:w="110" w:type="dxa"/>
              <w:left w:w="120" w:type="dxa"/>
              <w:bottom w:w="110" w:type="dxa"/>
              <w:right w:w="120" w:type="dxa"/>
            </w:tcMar>
            <w:vAlign w:val="center"/>
          </w:tcPr>
          <w:p w14:paraId="191E2662" w14:textId="77777777" w:rsidR="00CE32B4" w:rsidRDefault="00000000">
            <w:pPr>
              <w:spacing w:after="0" w:line="252" w:lineRule="auto"/>
            </w:pPr>
            <w:r>
              <w:rPr>
                <w:sz w:val="18"/>
              </w:rPr>
              <w:t>Yes / No / Not applicable</w:t>
            </w:r>
          </w:p>
        </w:tc>
      </w:tr>
      <w:tr w:rsidR="00CE32B4" w14:paraId="0C713CCF" w14:textId="77777777">
        <w:trPr>
          <w:jc w:val="center"/>
        </w:trPr>
        <w:tc>
          <w:tcPr>
            <w:tcW w:w="4082" w:type="dxa"/>
            <w:tcMar>
              <w:top w:w="110" w:type="dxa"/>
              <w:left w:w="120" w:type="dxa"/>
              <w:bottom w:w="110" w:type="dxa"/>
              <w:right w:w="120" w:type="dxa"/>
            </w:tcMar>
            <w:vAlign w:val="center"/>
          </w:tcPr>
          <w:p w14:paraId="5CBE97C9" w14:textId="77777777" w:rsidR="00CE32B4" w:rsidRDefault="00000000">
            <w:pPr>
              <w:spacing w:after="0" w:line="252" w:lineRule="auto"/>
            </w:pPr>
            <w:r>
              <w:rPr>
                <w:sz w:val="18"/>
              </w:rPr>
              <w:t>Repeated jointed probe contact</w:t>
            </w:r>
          </w:p>
        </w:tc>
        <w:tc>
          <w:tcPr>
            <w:tcW w:w="5386" w:type="dxa"/>
            <w:tcMar>
              <w:top w:w="110" w:type="dxa"/>
              <w:left w:w="120" w:type="dxa"/>
              <w:bottom w:w="110" w:type="dxa"/>
              <w:right w:w="120" w:type="dxa"/>
            </w:tcMar>
            <w:vAlign w:val="center"/>
          </w:tcPr>
          <w:p w14:paraId="16D1DF53" w14:textId="77777777" w:rsidR="00CE32B4" w:rsidRDefault="00000000">
            <w:pPr>
              <w:spacing w:after="0" w:line="252" w:lineRule="auto"/>
            </w:pPr>
            <w:r>
              <w:rPr>
                <w:sz w:val="18"/>
              </w:rPr>
              <w:t>Yes / No / Not applicable</w:t>
            </w:r>
          </w:p>
        </w:tc>
      </w:tr>
      <w:tr w:rsidR="00CE32B4" w14:paraId="2D8080D7" w14:textId="77777777">
        <w:trPr>
          <w:jc w:val="center"/>
        </w:trPr>
        <w:tc>
          <w:tcPr>
            <w:tcW w:w="4082" w:type="dxa"/>
            <w:shd w:val="clear" w:color="auto" w:fill="F3F6F9"/>
            <w:tcMar>
              <w:top w:w="110" w:type="dxa"/>
              <w:left w:w="120" w:type="dxa"/>
              <w:bottom w:w="110" w:type="dxa"/>
              <w:right w:w="120" w:type="dxa"/>
            </w:tcMar>
            <w:vAlign w:val="center"/>
          </w:tcPr>
          <w:p w14:paraId="6F3699E1" w14:textId="77777777" w:rsidR="00CE32B4" w:rsidRDefault="00000000">
            <w:pPr>
              <w:spacing w:after="0" w:line="252" w:lineRule="auto"/>
            </w:pPr>
            <w:r>
              <w:rPr>
                <w:sz w:val="18"/>
              </w:rPr>
              <w:t>Interlock provided</w:t>
            </w:r>
          </w:p>
        </w:tc>
        <w:tc>
          <w:tcPr>
            <w:tcW w:w="5386" w:type="dxa"/>
            <w:shd w:val="clear" w:color="auto" w:fill="F3F6F9"/>
            <w:tcMar>
              <w:top w:w="110" w:type="dxa"/>
              <w:left w:w="120" w:type="dxa"/>
              <w:bottom w:w="110" w:type="dxa"/>
              <w:right w:w="120" w:type="dxa"/>
            </w:tcMar>
            <w:vAlign w:val="center"/>
          </w:tcPr>
          <w:p w14:paraId="1CBA2DEC" w14:textId="77777777" w:rsidR="00CE32B4" w:rsidRDefault="00000000">
            <w:pPr>
              <w:spacing w:after="0" w:line="252" w:lineRule="auto"/>
            </w:pPr>
            <w:r>
              <w:rPr>
                <w:sz w:val="18"/>
              </w:rPr>
              <w:t>Yes / No</w:t>
            </w:r>
          </w:p>
        </w:tc>
      </w:tr>
      <w:tr w:rsidR="00CE32B4" w14:paraId="03321BE5" w14:textId="77777777">
        <w:trPr>
          <w:jc w:val="center"/>
        </w:trPr>
        <w:tc>
          <w:tcPr>
            <w:tcW w:w="4082" w:type="dxa"/>
            <w:tcMar>
              <w:top w:w="110" w:type="dxa"/>
              <w:left w:w="120" w:type="dxa"/>
              <w:bottom w:w="110" w:type="dxa"/>
              <w:right w:w="120" w:type="dxa"/>
            </w:tcMar>
            <w:vAlign w:val="center"/>
          </w:tcPr>
          <w:p w14:paraId="35DB843C" w14:textId="77777777" w:rsidR="00CE32B4" w:rsidRDefault="00000000">
            <w:pPr>
              <w:spacing w:after="0" w:line="252" w:lineRule="auto"/>
            </w:pPr>
            <w:r>
              <w:rPr>
                <w:sz w:val="18"/>
              </w:rPr>
              <w:t>Movement reduced to MS1 before access</w:t>
            </w:r>
          </w:p>
        </w:tc>
        <w:tc>
          <w:tcPr>
            <w:tcW w:w="5386" w:type="dxa"/>
            <w:tcMar>
              <w:top w:w="110" w:type="dxa"/>
              <w:left w:w="120" w:type="dxa"/>
              <w:bottom w:w="110" w:type="dxa"/>
              <w:right w:w="120" w:type="dxa"/>
            </w:tcMar>
            <w:vAlign w:val="center"/>
          </w:tcPr>
          <w:p w14:paraId="416CBA41" w14:textId="77777777" w:rsidR="00CE32B4" w:rsidRDefault="00000000">
            <w:pPr>
              <w:spacing w:after="0" w:line="252" w:lineRule="auto"/>
            </w:pPr>
            <w:r>
              <w:rPr>
                <w:sz w:val="18"/>
              </w:rPr>
              <w:t>Yes / No / Not applicable</w:t>
            </w:r>
          </w:p>
        </w:tc>
      </w:tr>
      <w:tr w:rsidR="00CE32B4" w14:paraId="5C320D2B" w14:textId="77777777">
        <w:trPr>
          <w:jc w:val="center"/>
        </w:trPr>
        <w:tc>
          <w:tcPr>
            <w:tcW w:w="4082" w:type="dxa"/>
            <w:shd w:val="clear" w:color="auto" w:fill="F3F6F9"/>
            <w:tcMar>
              <w:top w:w="110" w:type="dxa"/>
              <w:left w:w="120" w:type="dxa"/>
              <w:bottom w:w="110" w:type="dxa"/>
              <w:right w:w="120" w:type="dxa"/>
            </w:tcMar>
            <w:vAlign w:val="center"/>
          </w:tcPr>
          <w:p w14:paraId="3464D039" w14:textId="77777777" w:rsidR="00CE32B4" w:rsidRDefault="00000000">
            <w:pPr>
              <w:spacing w:after="0" w:line="252" w:lineRule="auto"/>
            </w:pPr>
            <w:r>
              <w:rPr>
                <w:sz w:val="18"/>
              </w:rPr>
              <w:t>Final result</w:t>
            </w:r>
          </w:p>
        </w:tc>
        <w:tc>
          <w:tcPr>
            <w:tcW w:w="5386" w:type="dxa"/>
            <w:shd w:val="clear" w:color="auto" w:fill="F3F6F9"/>
            <w:tcMar>
              <w:top w:w="110" w:type="dxa"/>
              <w:left w:w="120" w:type="dxa"/>
              <w:bottom w:w="110" w:type="dxa"/>
              <w:right w:w="120" w:type="dxa"/>
            </w:tcMar>
            <w:vAlign w:val="center"/>
          </w:tcPr>
          <w:p w14:paraId="1A94DEBF" w14:textId="77777777" w:rsidR="00CE32B4" w:rsidRDefault="00000000">
            <w:pPr>
              <w:spacing w:after="0" w:line="252" w:lineRule="auto"/>
            </w:pPr>
            <w:r>
              <w:rPr>
                <w:sz w:val="18"/>
              </w:rPr>
              <w:t>PASS / FAIL</w:t>
            </w:r>
          </w:p>
        </w:tc>
      </w:tr>
      <w:tr w:rsidR="00CE32B4" w14:paraId="2583A6DE" w14:textId="77777777">
        <w:trPr>
          <w:jc w:val="center"/>
        </w:trPr>
        <w:tc>
          <w:tcPr>
            <w:tcW w:w="4082" w:type="dxa"/>
            <w:tcMar>
              <w:top w:w="110" w:type="dxa"/>
              <w:left w:w="120" w:type="dxa"/>
              <w:bottom w:w="110" w:type="dxa"/>
              <w:right w:w="120" w:type="dxa"/>
            </w:tcMar>
            <w:vAlign w:val="center"/>
          </w:tcPr>
          <w:p w14:paraId="073004EA" w14:textId="77777777" w:rsidR="00CE32B4" w:rsidRDefault="00000000">
            <w:pPr>
              <w:spacing w:after="0" w:line="252" w:lineRule="auto"/>
            </w:pPr>
            <w:r>
              <w:rPr>
                <w:sz w:val="18"/>
              </w:rPr>
              <w:t>Corrective action and retest reference</w:t>
            </w:r>
          </w:p>
        </w:tc>
        <w:tc>
          <w:tcPr>
            <w:tcW w:w="5386" w:type="dxa"/>
            <w:tcMar>
              <w:top w:w="110" w:type="dxa"/>
              <w:left w:w="120" w:type="dxa"/>
              <w:bottom w:w="110" w:type="dxa"/>
              <w:right w:w="120" w:type="dxa"/>
            </w:tcMar>
            <w:vAlign w:val="center"/>
          </w:tcPr>
          <w:p w14:paraId="583933C3" w14:textId="77777777" w:rsidR="00CE32B4" w:rsidRDefault="00CE32B4">
            <w:pPr>
              <w:spacing w:after="0" w:line="252" w:lineRule="auto"/>
            </w:pPr>
          </w:p>
        </w:tc>
      </w:tr>
    </w:tbl>
    <w:p w14:paraId="46A5631F" w14:textId="77777777" w:rsidR="00CE32B4" w:rsidRDefault="00000000">
      <w:pPr>
        <w:pStyle w:val="Heading2"/>
      </w:pPr>
      <w:r>
        <w:t>Photographic evidence</w:t>
      </w:r>
    </w:p>
    <w:p w14:paraId="51D8793F" w14:textId="77777777" w:rsidR="00CE32B4" w:rsidRDefault="00000000">
      <w:r>
        <w:t>Attach photographs showing the opening, probe identity, each worst-case probe orientation, contact indication, mechanism position and any deformation following the 30 N test.</w:t>
      </w:r>
    </w:p>
    <w:p w14:paraId="78B04FAF" w14:textId="77777777" w:rsidR="00CE32B4" w:rsidRDefault="00000000">
      <w:r>
        <w:br w:type="page"/>
      </w:r>
    </w:p>
    <w:p w14:paraId="1EEDD8B3" w14:textId="77777777" w:rsidR="00CE32B4" w:rsidRDefault="00000000">
      <w:pPr>
        <w:pStyle w:val="Heading1"/>
      </w:pPr>
      <w:r>
        <w:lastRenderedPageBreak/>
        <w:t>References and cautions</w:t>
      </w:r>
    </w:p>
    <w:p w14:paraId="259F02B3" w14:textId="77777777" w:rsidR="00CE32B4" w:rsidRDefault="00000000">
      <w:r>
        <w:t>Primary standard references</w:t>
      </w:r>
    </w:p>
    <w:p w14:paraId="6037654B" w14:textId="77777777" w:rsidR="00CE32B4" w:rsidRDefault="00000000">
      <w:pPr>
        <w:pStyle w:val="ListBullet"/>
      </w:pPr>
      <w:r>
        <w:t xml:space="preserve">IEC 62368-1:2014 Edition 2 information page  </w:t>
      </w:r>
      <w:hyperlink r:id="rId12">
        <w:r>
          <w:rPr>
            <w:color w:val="0563C1"/>
            <w:u w:val="single"/>
          </w:rPr>
          <w:t>IEC Webstore</w:t>
        </w:r>
      </w:hyperlink>
    </w:p>
    <w:p w14:paraId="4835C709" w14:textId="77777777" w:rsidR="00CE32B4" w:rsidRDefault="00000000">
      <w:pPr>
        <w:pStyle w:val="ListBullet"/>
      </w:pPr>
      <w:r>
        <w:t xml:space="preserve">IEC 62368-1:2014 official preview, including the contents identifying Clauses 8.2, 8.3, 8.5 and Annex V  </w:t>
      </w:r>
      <w:hyperlink r:id="rId13">
        <w:r>
          <w:rPr>
            <w:color w:val="0563C1"/>
            <w:u w:val="single"/>
          </w:rPr>
          <w:t>IEC preview distributed through ANSI</w:t>
        </w:r>
      </w:hyperlink>
    </w:p>
    <w:p w14:paraId="52218779" w14:textId="77777777" w:rsidR="00CE32B4" w:rsidRDefault="00000000">
      <w:pPr>
        <w:pStyle w:val="ListBullet"/>
      </w:pPr>
      <w:r>
        <w:t xml:space="preserve">BS EN 62368-1:2014+A11:2017 status  </w:t>
      </w:r>
      <w:hyperlink r:id="rId14">
        <w:r>
          <w:rPr>
            <w:color w:val="0563C1"/>
            <w:u w:val="single"/>
          </w:rPr>
          <w:t>BSI Knowledge</w:t>
        </w:r>
      </w:hyperlink>
    </w:p>
    <w:p w14:paraId="6B5719AD" w14:textId="77777777" w:rsidR="00CE32B4" w:rsidRDefault="00000000">
      <w:pPr>
        <w:pStyle w:val="Heading2"/>
      </w:pPr>
      <w:r>
        <w:t>Use of this procedure</w:t>
      </w:r>
    </w:p>
    <w:p w14:paraId="0780F132" w14:textId="77777777" w:rsidR="00CE32B4" w:rsidRDefault="00000000">
      <w:r>
        <w:t>This document is an explanatory laboratory aid and does not reproduce every requirement, dimensional tolerance or exception in the standard. Use a legally obtained copy of the applicable edition, its amendments and corrigenda when performing a conformity assessment. Where a product is being newly certified, confirm which edition and national or European amendments are required for the target market. BSI lists BS EN 62368-1:2014+A11:2017 as withdrawn.</w:t>
      </w:r>
    </w:p>
    <w:p w14:paraId="78B1BBA4" w14:textId="77777777" w:rsidR="00CE32B4" w:rsidRDefault="00000000">
      <w:r>
        <w:t>Prepared for practical assessment of a finger-accessible opening adjacent to a moving pinch mechanism.</w:t>
      </w:r>
    </w:p>
    <w:sectPr w:rsidR="00CE32B4" w:rsidSect="00034616">
      <w:footerReference w:type="default" r:id="rId15"/>
      <w:pgSz w:w="11906" w:h="16838"/>
      <w:pgMar w:top="1020"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03AA8" w14:textId="77777777" w:rsidR="002C7478" w:rsidRDefault="002C7478">
      <w:pPr>
        <w:spacing w:after="0" w:line="240" w:lineRule="auto"/>
      </w:pPr>
      <w:r>
        <w:separator/>
      </w:r>
    </w:p>
  </w:endnote>
  <w:endnote w:type="continuationSeparator" w:id="0">
    <w:p w14:paraId="4B1815D9" w14:textId="77777777" w:rsidR="002C7478" w:rsidRDefault="002C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07EE" w14:textId="11A78C69" w:rsidR="00CE32B4" w:rsidRDefault="00000000">
    <w:pPr>
      <w:pStyle w:val="Footer"/>
      <w:jc w:val="right"/>
    </w:pPr>
    <w:r>
      <w:rPr>
        <w:color w:val="646464"/>
        <w:sz w:val="16"/>
      </w:rPr>
      <w:t xml:space="preserve">EN 62368-1:2014 moving part accessibility </w:t>
    </w:r>
    <w:r w:rsidR="002E4FCA">
      <w:rPr>
        <w:color w:val="646464"/>
        <w:sz w:val="16"/>
      </w:rPr>
      <w:t xml:space="preserve">test </w:t>
    </w:r>
    <w:proofErr w:type="gramStart"/>
    <w:r w:rsidR="002E4FCA">
      <w:rPr>
        <w:color w:val="646464"/>
        <w:sz w:val="16"/>
      </w:rPr>
      <w:t>|</w:t>
    </w:r>
    <w:r>
      <w:rPr>
        <w:color w:val="646464"/>
        <w:sz w:val="16"/>
      </w:rPr>
      <w:t xml:space="preserve">  </w:t>
    </w:r>
    <w:r>
      <w:t>Page</w:t>
    </w:r>
    <w:proofErr w:type="gramEnd"/>
    <w:r>
      <w:t xml:space="preserve"> </w:t>
    </w:r>
    <w:r>
      <w:fldChar w:fldCharType="begin"/>
    </w:r>
    <w:r>
      <w:instrText>PAGE</w:instrText>
    </w:r>
    <w:r w:rsidR="002E4FCA">
      <w:fldChar w:fldCharType="separate"/>
    </w:r>
    <w:r w:rsidR="002E4FC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A019" w14:textId="77777777" w:rsidR="002C7478" w:rsidRDefault="002C7478">
      <w:pPr>
        <w:spacing w:after="0" w:line="240" w:lineRule="auto"/>
      </w:pPr>
      <w:r>
        <w:separator/>
      </w:r>
    </w:p>
  </w:footnote>
  <w:footnote w:type="continuationSeparator" w:id="0">
    <w:p w14:paraId="7FEC4F17" w14:textId="77777777" w:rsidR="002C7478" w:rsidRDefault="002C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6128402">
    <w:abstractNumId w:val="8"/>
  </w:num>
  <w:num w:numId="2" w16cid:durableId="1638611648">
    <w:abstractNumId w:val="6"/>
  </w:num>
  <w:num w:numId="3" w16cid:durableId="1986471517">
    <w:abstractNumId w:val="5"/>
  </w:num>
  <w:num w:numId="4" w16cid:durableId="1408303144">
    <w:abstractNumId w:val="4"/>
  </w:num>
  <w:num w:numId="5" w16cid:durableId="1911311400">
    <w:abstractNumId w:val="7"/>
  </w:num>
  <w:num w:numId="6" w16cid:durableId="744959957">
    <w:abstractNumId w:val="3"/>
  </w:num>
  <w:num w:numId="7" w16cid:durableId="1649751437">
    <w:abstractNumId w:val="2"/>
  </w:num>
  <w:num w:numId="8" w16cid:durableId="241447610">
    <w:abstractNumId w:val="1"/>
  </w:num>
  <w:num w:numId="9" w16cid:durableId="1520118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7478"/>
    <w:rsid w:val="002E4FCA"/>
    <w:rsid w:val="00326F90"/>
    <w:rsid w:val="005A13D5"/>
    <w:rsid w:val="00AA1D8D"/>
    <w:rsid w:val="00B47730"/>
    <w:rsid w:val="00BD7E36"/>
    <w:rsid w:val="00CB0664"/>
    <w:rsid w:val="00CE32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21C927"/>
  <w14:defaultImageDpi w14:val="300"/>
  <w15:docId w15:val="{FD1819BA-A1B0-47F6-9804-6616C433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olor w:val="1F1F1F"/>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000000"/>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00" w:line="240" w:lineRule="auto"/>
      <w:contextualSpacing/>
    </w:pPr>
    <w:rPr>
      <w:rFonts w:asciiTheme="majorHAnsi" w:eastAsiaTheme="majorEastAsia" w:hAnsiTheme="majorHAnsi" w:cstheme="majorBidi"/>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320"/>
    </w:pPr>
    <w:rPr>
      <w:rFonts w:asciiTheme="majorHAnsi" w:eastAsiaTheme="majorEastAsia" w:hAnsiTheme="majorHAnsi" w:cstheme="majorBidi"/>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store.ansi.org/preview-pages/IEC/preview_iec62368-1%7Bed2.0%7Db.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store.iec.ch/en/publication/693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nowledge.bsigroup.com/products/audio-video-information-and-communication-technology-equipment-safety-requirement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2448</Words>
  <Characters>13416</Characters>
  <Application>Microsoft Office Word</Application>
  <DocSecurity>0</DocSecurity>
  <Lines>372</Lines>
  <Paragraphs>260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Moving Part Accessibility and Pinch Point Test</dc:title>
  <dc:subject>EN 62368-1:2014 Clause 8.5 and Annex V test procedure</dc:subject>
  <dc:creator>Innovative Technology</dc:creator>
  <cp:keywords>EN 62368-1, moving parts, pinch point, Annex V, test finger, accessibility</cp:keywords>
  <dc:description>generated by python-docx</dc:description>
  <cp:lastModifiedBy>Simon Longstaff</cp:lastModifiedBy>
  <cp:revision>2</cp:revision>
  <cp:lastPrinted>2026-09-14T11:11:00Z</cp:lastPrinted>
  <dcterms:created xsi:type="dcterms:W3CDTF">2026-09-14T13:40:00Z</dcterms:created>
  <dcterms:modified xsi:type="dcterms:W3CDTF">2026-09-14T13:40:00Z</dcterms:modified>
  <cp:category/>
</cp:coreProperties>
</file>